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7F" w:rsidRDefault="0004107F" w:rsidP="0004107F">
      <w:pPr>
        <w:jc w:val="center"/>
        <w:rPr>
          <w:rFonts w:ascii="Arial" w:hAnsi="Arial" w:cs="Arial"/>
          <w:sz w:val="19"/>
          <w:szCs w:val="19"/>
        </w:rPr>
      </w:pPr>
    </w:p>
    <w:p w:rsidR="00132A06" w:rsidRDefault="00132A06" w:rsidP="0004107F">
      <w:pPr>
        <w:jc w:val="center"/>
        <w:rPr>
          <w:rFonts w:ascii="Arial" w:hAnsi="Arial" w:cs="Arial"/>
          <w:sz w:val="19"/>
          <w:szCs w:val="19"/>
        </w:rPr>
      </w:pPr>
    </w:p>
    <w:p w:rsidR="00132A06" w:rsidRPr="00132A06" w:rsidRDefault="00132A06" w:rsidP="0004107F">
      <w:pPr>
        <w:jc w:val="center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002060"/>
        <w:tblLook w:val="04A0"/>
      </w:tblPr>
      <w:tblGrid>
        <w:gridCol w:w="14142"/>
      </w:tblGrid>
      <w:tr w:rsidR="005E51A4" w:rsidRPr="00132A06" w:rsidTr="00710787">
        <w:tc>
          <w:tcPr>
            <w:tcW w:w="14142" w:type="dxa"/>
            <w:tcBorders>
              <w:top w:val="nil"/>
              <w:left w:val="nil"/>
              <w:bottom w:val="nil"/>
              <w:right w:val="nil"/>
            </w:tcBorders>
            <w:shd w:val="clear" w:color="auto" w:fill="1F497D"/>
          </w:tcPr>
          <w:p w:rsidR="005E51A4" w:rsidRPr="00132A06" w:rsidRDefault="00C77648" w:rsidP="00710787">
            <w:pPr>
              <w:shd w:val="clear" w:color="auto" w:fill="1F497D"/>
              <w:spacing w:after="300"/>
              <w:contextualSpacing/>
              <w:rPr>
                <w:rFonts w:ascii="Arial" w:eastAsiaTheme="majorEastAsia" w:hAnsi="Arial" w:cs="Arial"/>
                <w:b/>
                <w:spacing w:val="5"/>
                <w:kern w:val="28"/>
              </w:rPr>
            </w:pPr>
            <w:r w:rsidRPr="00132A06"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</w:rPr>
              <w:t>D</w:t>
            </w:r>
            <w:r w:rsidR="005E51A4" w:rsidRPr="00132A06"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</w:rPr>
              <w:t>oplňujúce monitorovacie údaje</w:t>
            </w:r>
            <w:r w:rsidR="005E51A4" w:rsidRPr="00132A06"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  <w:vertAlign w:val="superscript"/>
              </w:rPr>
              <w:footnoteReference w:id="1"/>
            </w:r>
          </w:p>
        </w:tc>
      </w:tr>
    </w:tbl>
    <w:p w:rsidR="005E51A4" w:rsidRDefault="005E51A4" w:rsidP="005E51A4">
      <w:pPr>
        <w:rPr>
          <w:rFonts w:ascii="Arial" w:hAnsi="Arial" w:cs="Arial"/>
          <w:b/>
          <w:sz w:val="19"/>
          <w:szCs w:val="19"/>
        </w:rPr>
      </w:pPr>
    </w:p>
    <w:p w:rsidR="00132A06" w:rsidRDefault="00132A06" w:rsidP="005E51A4">
      <w:pPr>
        <w:rPr>
          <w:rFonts w:ascii="Arial" w:hAnsi="Arial" w:cs="Arial"/>
          <w:b/>
          <w:sz w:val="19"/>
          <w:szCs w:val="19"/>
        </w:rPr>
      </w:pPr>
    </w:p>
    <w:p w:rsidR="00132A06" w:rsidRPr="00132A06" w:rsidRDefault="00132A06" w:rsidP="005E51A4">
      <w:pPr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W w:w="0" w:type="auto"/>
        <w:tblLook w:val="04A0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3E141F" w:rsidRPr="00132A06" w:rsidTr="003E141F">
        <w:tc>
          <w:tcPr>
            <w:tcW w:w="14142" w:type="dxa"/>
            <w:gridSpan w:val="8"/>
            <w:tcBorders>
              <w:bottom w:val="single" w:sz="4" w:space="0" w:color="auto"/>
            </w:tcBorders>
            <w:shd w:val="clear" w:color="auto" w:fill="81BC00"/>
          </w:tcPr>
          <w:p w:rsidR="00854A2E" w:rsidRPr="00132A06" w:rsidRDefault="00854A2E" w:rsidP="005E51A4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1. Vzťah aktivít a merateľných ukazovateľov projektu</w:t>
            </w:r>
          </w:p>
        </w:tc>
      </w:tr>
      <w:tr w:rsidR="00854A2E" w:rsidRPr="00132A06" w:rsidTr="00F4544E">
        <w:trPr>
          <w:trHeight w:val="872"/>
        </w:trPr>
        <w:tc>
          <w:tcPr>
            <w:tcW w:w="13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4A2E" w:rsidRPr="00132A06" w:rsidRDefault="00854A2E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2"/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4A2E" w:rsidRPr="00132A06" w:rsidRDefault="00854A2E" w:rsidP="0071078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Plánovaný stav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6"/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Skutočný stav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7"/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Miera plnenia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  <w:p w:rsidR="00854A2E" w:rsidRPr="00132A06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8"/>
            </w:r>
          </w:p>
        </w:tc>
      </w:tr>
      <w:tr w:rsidR="00854A2E" w:rsidRPr="00132A06" w:rsidTr="00854A2E">
        <w:tc>
          <w:tcPr>
            <w:tcW w:w="1304" w:type="dxa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706" w:type="dxa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417" w:type="dxa"/>
          </w:tcPr>
          <w:p w:rsidR="00854A2E" w:rsidRPr="00132A06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132A06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132A06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132A06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835" w:type="dxa"/>
          </w:tcPr>
          <w:p w:rsidR="00854A2E" w:rsidRPr="00132A06" w:rsidRDefault="00854A2E" w:rsidP="008E3F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)=(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)/(</w:t>
            </w:r>
            <w:r w:rsidR="008E3F90" w:rsidRPr="00132A06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132A06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</w:tr>
      <w:tr w:rsidR="00854A2E" w:rsidRPr="00132A06" w:rsidTr="00854A2E">
        <w:tc>
          <w:tcPr>
            <w:tcW w:w="1304" w:type="dxa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sz w:val="19"/>
                <w:szCs w:val="19"/>
              </w:rPr>
              <w:t>Aktivita n</w:t>
            </w:r>
            <w:r w:rsidRPr="00132A0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6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4A2E" w:rsidRPr="00132A06" w:rsidTr="00854A2E">
        <w:tc>
          <w:tcPr>
            <w:tcW w:w="1304" w:type="dxa"/>
          </w:tcPr>
          <w:p w:rsidR="00854A2E" w:rsidRPr="00132A06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sz w:val="19"/>
                <w:szCs w:val="19"/>
              </w:rPr>
              <w:t>Poznámky k aktivite n</w:t>
            </w:r>
            <w:r w:rsidRPr="00132A0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132A06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32A06" w:rsidRDefault="00132A06" w:rsidP="005E51A4">
      <w:pPr>
        <w:rPr>
          <w:rFonts w:ascii="Arial" w:hAnsi="Arial" w:cs="Arial"/>
          <w:b/>
          <w:sz w:val="19"/>
          <w:szCs w:val="19"/>
        </w:rPr>
      </w:pPr>
    </w:p>
    <w:p w:rsidR="00132A06" w:rsidRDefault="00132A06">
      <w:pPr>
        <w:spacing w:after="200" w:line="276" w:lineRule="auto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</w:r>
    </w:p>
    <w:tbl>
      <w:tblPr>
        <w:tblStyle w:val="Mriekatabuky"/>
        <w:tblW w:w="0" w:type="auto"/>
        <w:tblLook w:val="04A0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3E141F" w:rsidRPr="00132A06" w:rsidTr="003E141F">
        <w:tc>
          <w:tcPr>
            <w:tcW w:w="14142" w:type="dxa"/>
            <w:gridSpan w:val="7"/>
            <w:shd w:val="clear" w:color="auto" w:fill="81BC00"/>
          </w:tcPr>
          <w:p w:rsidR="00F17B69" w:rsidRPr="00132A06" w:rsidRDefault="00F17B69" w:rsidP="005E51A4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bookmarkStart w:id="0" w:name="_GoBack"/>
            <w:bookmarkEnd w:id="0"/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>2. Kumulatívne naplnenie merateľných ukazovateľov</w:t>
            </w:r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11"/>
            </w:r>
          </w:p>
        </w:tc>
      </w:tr>
      <w:tr w:rsidR="00F17B69" w:rsidRPr="00132A06" w:rsidTr="00F4544E">
        <w:trPr>
          <w:trHeight w:val="560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Plánovaný stav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Skutočný stav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132A0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7"/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17B69" w:rsidRPr="00132A06" w:rsidRDefault="00F17B69" w:rsidP="00F4544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Miera plnenia M</w:t>
            </w:r>
            <w:r w:rsidR="004E0E28" w:rsidRPr="00132A06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  <w:p w:rsidR="00F17B69" w:rsidRPr="00132A06" w:rsidRDefault="00F17B69" w:rsidP="00F4544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132A06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8"/>
            </w:r>
          </w:p>
        </w:tc>
      </w:tr>
      <w:tr w:rsidR="00A749A1" w:rsidRPr="00132A06" w:rsidTr="00307063">
        <w:tc>
          <w:tcPr>
            <w:tcW w:w="1680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132A06" w:rsidRDefault="00702F16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132A06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sz w:val="19"/>
                <w:szCs w:val="19"/>
              </w:rPr>
              <w:t>(7)=(6)/(5)</w:t>
            </w:r>
          </w:p>
        </w:tc>
      </w:tr>
      <w:tr w:rsidR="00F17B69" w:rsidRPr="00132A06" w:rsidTr="00A749A1">
        <w:tc>
          <w:tcPr>
            <w:tcW w:w="1680" w:type="dxa"/>
          </w:tcPr>
          <w:p w:rsidR="00F17B69" w:rsidRPr="00132A06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sz w:val="19"/>
                <w:szCs w:val="19"/>
              </w:rPr>
              <w:t>Merateľný ukazovateľ n</w:t>
            </w:r>
            <w:r w:rsidRPr="00132A0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2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B69" w:rsidRPr="00132A06" w:rsidTr="00F17B69">
        <w:tc>
          <w:tcPr>
            <w:tcW w:w="1680" w:type="dxa"/>
          </w:tcPr>
          <w:p w:rsidR="00F17B69" w:rsidRPr="00132A06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sz w:val="19"/>
                <w:szCs w:val="19"/>
              </w:rPr>
              <w:t>Poznámky k merateľnému</w:t>
            </w:r>
          </w:p>
          <w:p w:rsidR="00F17B69" w:rsidRPr="00132A06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32A06">
              <w:rPr>
                <w:rFonts w:ascii="Arial" w:hAnsi="Arial" w:cs="Arial"/>
                <w:sz w:val="19"/>
                <w:szCs w:val="19"/>
              </w:rPr>
              <w:t>ukazovateľu n</w:t>
            </w:r>
            <w:r w:rsidRPr="00132A0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132A06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E51A4" w:rsidRPr="00132A06" w:rsidRDefault="005E51A4" w:rsidP="005E51A4">
      <w:pPr>
        <w:rPr>
          <w:rFonts w:ascii="Arial" w:hAnsi="Arial" w:cs="Arial"/>
          <w:b/>
          <w:sz w:val="19"/>
          <w:szCs w:val="19"/>
        </w:rPr>
      </w:pPr>
    </w:p>
    <w:p w:rsidR="00710787" w:rsidRPr="00132A06" w:rsidRDefault="00710787" w:rsidP="005E51A4">
      <w:pPr>
        <w:rPr>
          <w:rFonts w:ascii="Arial" w:hAnsi="Arial" w:cs="Arial"/>
          <w:b/>
          <w:sz w:val="19"/>
          <w:szCs w:val="19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4141"/>
      </w:tblGrid>
      <w:tr w:rsidR="003E141F" w:rsidRPr="00132A06" w:rsidTr="003E141F">
        <w:tc>
          <w:tcPr>
            <w:tcW w:w="5000" w:type="pct"/>
            <w:shd w:val="clear" w:color="auto" w:fill="81BC00"/>
          </w:tcPr>
          <w:p w:rsidR="005E51A4" w:rsidRPr="00132A06" w:rsidRDefault="005E51A4" w:rsidP="005E51A4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3. </w:t>
            </w:r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Identifikované problémy, riziká a ďalšie informácie  v  súvislosti s realizáciou projektu</w:t>
            </w:r>
            <w:r w:rsidRPr="00132A0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  <w:vertAlign w:val="superscript"/>
              </w:rPr>
              <w:footnoteReference w:id="21"/>
            </w:r>
          </w:p>
        </w:tc>
      </w:tr>
      <w:tr w:rsidR="005E51A4" w:rsidRPr="00132A06" w:rsidTr="00547395">
        <w:tc>
          <w:tcPr>
            <w:tcW w:w="5000" w:type="pct"/>
          </w:tcPr>
          <w:p w:rsidR="005E51A4" w:rsidRPr="00132A06" w:rsidRDefault="005E51A4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:rsidR="00F4544E" w:rsidRPr="00132A06" w:rsidRDefault="00F4544E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:rsidR="00F4544E" w:rsidRPr="00132A06" w:rsidRDefault="00F4544E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627EA3" w:rsidRPr="00132A06" w:rsidRDefault="00627EA3" w:rsidP="005E51A4">
      <w:pPr>
        <w:rPr>
          <w:rFonts w:ascii="Arial" w:hAnsi="Arial" w:cs="Arial"/>
          <w:sz w:val="19"/>
          <w:szCs w:val="19"/>
        </w:rPr>
      </w:pPr>
    </w:p>
    <w:sectPr w:rsidR="00627EA3" w:rsidRPr="00132A06" w:rsidSect="003728C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C26" w:rsidRDefault="00B51C26" w:rsidP="00B948E0">
      <w:r>
        <w:separator/>
      </w:r>
    </w:p>
  </w:endnote>
  <w:endnote w:type="continuationSeparator" w:id="0">
    <w:p w:rsidR="00B51C26" w:rsidRDefault="00B51C26" w:rsidP="00B94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741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28CC" w:rsidRDefault="00850E0B">
        <w:pPr>
          <w:pStyle w:val="Pta"/>
          <w:jc w:val="center"/>
        </w:pPr>
        <w:r>
          <w:fldChar w:fldCharType="begin"/>
        </w:r>
        <w:r w:rsidR="003728CC">
          <w:instrText xml:space="preserve"> PAGE   \* MERGEFORMAT </w:instrText>
        </w:r>
        <w:r>
          <w:fldChar w:fldCharType="separate"/>
        </w:r>
        <w:r w:rsidR="00F31B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8035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2A06" w:rsidRDefault="00850E0B">
        <w:pPr>
          <w:pStyle w:val="Pta"/>
          <w:jc w:val="center"/>
        </w:pPr>
        <w:r>
          <w:fldChar w:fldCharType="begin"/>
        </w:r>
        <w:r w:rsidR="00132A06">
          <w:instrText xml:space="preserve"> PAGE   \* MERGEFORMAT </w:instrText>
        </w:r>
        <w:r>
          <w:fldChar w:fldCharType="separate"/>
        </w:r>
        <w:r w:rsidR="003728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C26" w:rsidRDefault="00B51C26" w:rsidP="00B948E0">
      <w:r>
        <w:separator/>
      </w:r>
    </w:p>
  </w:footnote>
  <w:footnote w:type="continuationSeparator" w:id="0">
    <w:p w:rsidR="00B51C26" w:rsidRDefault="00B51C26" w:rsidP="00B948E0">
      <w:r>
        <w:continuationSeparator/>
      </w:r>
    </w:p>
  </w:footnote>
  <w:footnote w:id="1">
    <w:p w:rsidR="005E51A4" w:rsidRPr="00132A06" w:rsidRDefault="005E51A4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</w:t>
      </w:r>
      <w:r w:rsidR="00631ED3" w:rsidRPr="00132A06">
        <w:rPr>
          <w:rFonts w:ascii="Arial" w:hAnsi="Arial" w:cs="Arial"/>
          <w:sz w:val="16"/>
          <w:szCs w:val="16"/>
        </w:rPr>
        <w:t>Prijímateľ predkladá predmetnú prílohu v prípade, ak nepredložil žiadne zúčtovanie zálohovej platby, priebežnú platbu a poskytnutie predfinancovania do šiestich mesiacov od nadobudnutia účinnosti zmluvy o poskytnutí NFP a zároveň ešte neboli naplnené podmienky na zaslanie monitorovacej správy projektu (s príznakom ,,výročná“)</w:t>
      </w:r>
      <w:r w:rsidR="00123584" w:rsidRPr="00132A06">
        <w:rPr>
          <w:rFonts w:ascii="Arial" w:hAnsi="Arial" w:cs="Arial"/>
          <w:sz w:val="16"/>
          <w:szCs w:val="16"/>
        </w:rPr>
        <w:t xml:space="preserve">, príp. ak riadiaci orgán </w:t>
      </w:r>
      <w:r w:rsidR="00866043" w:rsidRPr="00132A06">
        <w:rPr>
          <w:rFonts w:ascii="Arial" w:hAnsi="Arial" w:cs="Arial"/>
          <w:sz w:val="16"/>
          <w:szCs w:val="16"/>
        </w:rPr>
        <w:t xml:space="preserve">o takéto informácie požiada </w:t>
      </w:r>
      <w:r w:rsidR="00631ED3" w:rsidRPr="00132A06">
        <w:rPr>
          <w:rFonts w:ascii="Arial" w:hAnsi="Arial" w:cs="Arial"/>
          <w:sz w:val="16"/>
          <w:szCs w:val="16"/>
        </w:rPr>
        <w:t xml:space="preserve">. </w:t>
      </w:r>
    </w:p>
  </w:footnote>
  <w:footnote w:id="2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vo vzťahu k daným </w:t>
      </w:r>
      <w:r w:rsidR="002A430D" w:rsidRPr="00132A06">
        <w:rPr>
          <w:rFonts w:ascii="Arial" w:hAnsi="Arial" w:cs="Arial"/>
          <w:sz w:val="16"/>
          <w:szCs w:val="16"/>
        </w:rPr>
        <w:t xml:space="preserve">hlavným </w:t>
      </w:r>
      <w:r w:rsidRPr="00132A06">
        <w:rPr>
          <w:rFonts w:ascii="Arial" w:hAnsi="Arial" w:cs="Arial"/>
          <w:sz w:val="16"/>
          <w:szCs w:val="16"/>
        </w:rPr>
        <w:t>aktivitám  v zmysle zmluvy o poskytnutí nenávratného finančného príspevku.</w:t>
      </w:r>
    </w:p>
  </w:footnote>
  <w:footnote w:id="3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4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6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7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</w:t>
      </w:r>
      <w:r w:rsidR="00AB76AE" w:rsidRPr="00132A06">
        <w:rPr>
          <w:rFonts w:ascii="Arial" w:hAnsi="Arial" w:cs="Arial"/>
          <w:sz w:val="16"/>
          <w:szCs w:val="16"/>
        </w:rPr>
        <w:t xml:space="preserve">ku dňu </w:t>
      </w:r>
      <w:r w:rsidR="00BD37DE" w:rsidRPr="00132A06">
        <w:rPr>
          <w:rFonts w:ascii="Arial" w:hAnsi="Arial" w:cs="Arial"/>
          <w:sz w:val="16"/>
          <w:szCs w:val="16"/>
        </w:rPr>
        <w:t>uplynutia šesťmesačnej lehoty</w:t>
      </w:r>
      <w:r w:rsidR="00D60958" w:rsidRPr="00132A06">
        <w:rPr>
          <w:rFonts w:ascii="Arial" w:hAnsi="Arial" w:cs="Arial"/>
          <w:sz w:val="16"/>
          <w:szCs w:val="16"/>
        </w:rPr>
        <w:t xml:space="preserve">, t.j. súhrnná hodnota od začiatku realizácie projektu do </w:t>
      </w:r>
      <w:r w:rsidR="00BD37DE" w:rsidRPr="00132A06">
        <w:rPr>
          <w:rFonts w:ascii="Arial" w:hAnsi="Arial" w:cs="Arial"/>
          <w:sz w:val="16"/>
          <w:szCs w:val="16"/>
        </w:rPr>
        <w:t>uplynutia šesťmesačnej lehoty, príp. do času, ktorý určí riadiaci orgán</w:t>
      </w:r>
      <w:r w:rsidR="00D60958" w:rsidRPr="00132A06">
        <w:rPr>
          <w:rFonts w:ascii="Arial" w:hAnsi="Arial" w:cs="Arial"/>
          <w:sz w:val="16"/>
          <w:szCs w:val="16"/>
        </w:rPr>
        <w:t>.</w:t>
      </w:r>
      <w:r w:rsidRPr="00132A06">
        <w:rPr>
          <w:rFonts w:ascii="Arial" w:hAnsi="Arial" w:cs="Arial"/>
          <w:sz w:val="16"/>
          <w:szCs w:val="16"/>
        </w:rPr>
        <w:t xml:space="preserve"> </w:t>
      </w:r>
    </w:p>
  </w:footnote>
  <w:footnote w:id="8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Pomer skutočného stavu (stĺpe č. </w:t>
      </w:r>
      <w:r w:rsidR="008E3F90" w:rsidRPr="00132A06">
        <w:rPr>
          <w:rFonts w:ascii="Arial" w:hAnsi="Arial" w:cs="Arial"/>
          <w:sz w:val="16"/>
          <w:szCs w:val="16"/>
        </w:rPr>
        <w:t>7</w:t>
      </w:r>
      <w:r w:rsidRPr="00132A06">
        <w:rPr>
          <w:rFonts w:ascii="Arial" w:hAnsi="Arial" w:cs="Arial"/>
          <w:sz w:val="16"/>
          <w:szCs w:val="16"/>
        </w:rPr>
        <w:t xml:space="preserve">) ku plánovanému stavu (stĺpec č. </w:t>
      </w:r>
      <w:r w:rsidR="008E3F90" w:rsidRPr="00132A06">
        <w:rPr>
          <w:rFonts w:ascii="Arial" w:hAnsi="Arial" w:cs="Arial"/>
          <w:sz w:val="16"/>
          <w:szCs w:val="16"/>
        </w:rPr>
        <w:t>6</w:t>
      </w:r>
      <w:r w:rsidRPr="00132A06">
        <w:rPr>
          <w:rFonts w:ascii="Arial" w:hAnsi="Arial" w:cs="Arial"/>
          <w:sz w:val="16"/>
          <w:szCs w:val="16"/>
        </w:rPr>
        <w:t>) merateľného ukazovateľa  aktivity projektu v percentuálnom vyjadrení.</w:t>
      </w:r>
    </w:p>
  </w:footnote>
  <w:footnote w:id="9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Uvádzajú sa postupne všetky </w:t>
      </w:r>
      <w:r w:rsidR="002A430D" w:rsidRPr="00132A06">
        <w:rPr>
          <w:rFonts w:ascii="Arial" w:hAnsi="Arial" w:cs="Arial"/>
          <w:sz w:val="16"/>
          <w:szCs w:val="16"/>
        </w:rPr>
        <w:t xml:space="preserve">hlavné </w:t>
      </w:r>
      <w:r w:rsidRPr="00132A06">
        <w:rPr>
          <w:rFonts w:ascii="Arial" w:hAnsi="Arial" w:cs="Arial"/>
          <w:sz w:val="16"/>
          <w:szCs w:val="16"/>
        </w:rPr>
        <w:t xml:space="preserve">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854A2E" w:rsidRPr="00132A06" w:rsidRDefault="00854A2E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Prijímateľ uvedie stručný popis priebehu a pokroku aktivity za obdobie od začiatku realizácie aktivít projektu </w:t>
      </w:r>
      <w:r w:rsidR="00D60958" w:rsidRPr="00132A06">
        <w:rPr>
          <w:rFonts w:ascii="Arial" w:hAnsi="Arial" w:cs="Arial"/>
          <w:sz w:val="16"/>
          <w:szCs w:val="16"/>
        </w:rPr>
        <w:t xml:space="preserve">ku dňu </w:t>
      </w:r>
      <w:r w:rsidR="007C2F0E" w:rsidRPr="00132A06">
        <w:rPr>
          <w:rFonts w:ascii="Arial" w:hAnsi="Arial" w:cs="Arial"/>
          <w:sz w:val="16"/>
          <w:szCs w:val="16"/>
        </w:rPr>
        <w:t>uplynutia šesťmesačnej lehoty, resp. do času, ktorý určí riadiaci orgán</w:t>
      </w:r>
      <w:r w:rsidRPr="00132A06">
        <w:rPr>
          <w:rFonts w:ascii="Arial" w:hAnsi="Arial" w:cs="Arial"/>
          <w:sz w:val="16"/>
          <w:szCs w:val="16"/>
        </w:rPr>
        <w:t>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F17B69" w:rsidRDefault="00F17B69" w:rsidP="00132A06">
      <w:pPr>
        <w:pStyle w:val="Textpoznmkypodiarou"/>
        <w:jc w:val="both"/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Uvádzajú sa údaje od začiatku realizácie projektu </w:t>
      </w:r>
      <w:r w:rsidR="002A48F5" w:rsidRPr="00132A06">
        <w:rPr>
          <w:rFonts w:ascii="Arial" w:hAnsi="Arial" w:cs="Arial"/>
          <w:sz w:val="16"/>
          <w:szCs w:val="16"/>
        </w:rPr>
        <w:t>ku dňu uplynutia šesťmesačnej lehoty, resp. do času, ktorý určí riadiaci orgán</w:t>
      </w:r>
      <w:r w:rsidRPr="00132A06">
        <w:rPr>
          <w:rFonts w:ascii="Arial" w:hAnsi="Arial" w:cs="Arial"/>
          <w:sz w:val="16"/>
          <w:szCs w:val="16"/>
        </w:rPr>
        <w:t>.</w:t>
      </w:r>
      <w:r w:rsidRPr="0068718A">
        <w:rPr>
          <w:rFonts w:ascii="Arial Narrow" w:hAnsi="Arial Narrow"/>
          <w:sz w:val="18"/>
          <w:szCs w:val="18"/>
        </w:rPr>
        <w:t xml:space="preserve"> </w:t>
      </w:r>
    </w:p>
  </w:footnote>
  <w:footnote w:id="12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 zmysle zmluvy o poskytnutí nenávratného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16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17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Uvádza sa kumulatívna hodnota merateľného ukazovateľa nameraná </w:t>
      </w:r>
      <w:r w:rsidR="00394F3A" w:rsidRPr="00132A06">
        <w:rPr>
          <w:rFonts w:ascii="Arial" w:hAnsi="Arial" w:cs="Arial"/>
          <w:sz w:val="16"/>
          <w:szCs w:val="16"/>
        </w:rPr>
        <w:t>ku dňu uplynutia šesťmesačnej lehoty, t.j. súhrnná hodnota od začiatku realizácie projektu do uplynutia šesťmesačnej lehoty, príp. do času, ktorý určí riadiaci orgán.</w:t>
      </w:r>
    </w:p>
  </w:footnote>
  <w:footnote w:id="18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Pomer skutočného stavu (stĺpe č. 6) ku plánovanému stavu (stĺpec č. 5) merateľného ukazovateľa  aktivity projektu v percentuálnom vyjadrení.</w:t>
      </w:r>
    </w:p>
  </w:footnote>
  <w:footnote w:id="19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Vypĺňané automaticky ITMS 2014+. Uvádzajú sa postupne všetky merateľné ukazovatele v zmysle zmluvy o poskytnutí nenávratného finančného príspevku.</w:t>
      </w:r>
    </w:p>
  </w:footnote>
  <w:footnote w:id="20">
    <w:p w:rsidR="00F17B69" w:rsidRPr="00132A06" w:rsidRDefault="00F17B69" w:rsidP="00132A0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Prijímateľ uvedie stručný popis priebehu a pokroku napĺňania merateľných ukazovateľov od začiatku realizácie projektu </w:t>
      </w:r>
      <w:r w:rsidR="00394F3A" w:rsidRPr="00132A06">
        <w:rPr>
          <w:rFonts w:ascii="Arial" w:hAnsi="Arial" w:cs="Arial"/>
          <w:sz w:val="16"/>
          <w:szCs w:val="16"/>
        </w:rPr>
        <w:t>ku dňu uplynutia šesťmesačnej lehoty</w:t>
      </w:r>
      <w:r w:rsidR="00261405" w:rsidRPr="00132A06">
        <w:rPr>
          <w:rFonts w:ascii="Arial" w:hAnsi="Arial" w:cs="Arial"/>
          <w:sz w:val="16"/>
          <w:szCs w:val="16"/>
        </w:rPr>
        <w:t xml:space="preserve">, </w:t>
      </w:r>
      <w:r w:rsidR="00394F3A" w:rsidRPr="00132A06">
        <w:rPr>
          <w:rFonts w:ascii="Arial" w:hAnsi="Arial" w:cs="Arial"/>
          <w:sz w:val="16"/>
          <w:szCs w:val="16"/>
        </w:rPr>
        <w:t>príp. do času, ktorý určí riadiaci orgán.</w:t>
      </w:r>
    </w:p>
  </w:footnote>
  <w:footnote w:id="21">
    <w:p w:rsidR="005E51A4" w:rsidRDefault="005E51A4" w:rsidP="00132A06">
      <w:pPr>
        <w:pStyle w:val="Textpoznmkypodiarou"/>
        <w:jc w:val="both"/>
      </w:pPr>
      <w:r w:rsidRPr="00132A0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32A06">
        <w:rPr>
          <w:rFonts w:ascii="Arial" w:hAnsi="Arial" w:cs="Arial"/>
          <w:sz w:val="16"/>
          <w:szCs w:val="16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C30" w:rsidRPr="00CB353D" w:rsidRDefault="005B4C30" w:rsidP="005B4C30">
    <w:pPr>
      <w:pStyle w:val="Hlavika"/>
      <w:rPr>
        <w:rFonts w:ascii="Arial Narrow" w:hAnsi="Arial Narrow"/>
        <w:noProof/>
        <w:lang w:val="en-US" w:eastAsia="en-US"/>
      </w:rPr>
    </w:pPr>
    <w:r w:rsidRPr="00CB353D">
      <w:rPr>
        <w:rFonts w:ascii="Arial Narrow" w:hAnsi="Arial Narrow" w:cstheme="minorHAnsi"/>
        <w:sz w:val="22"/>
        <w:szCs w:val="20"/>
      </w:rPr>
      <w:t xml:space="preserve">Príloha č. </w:t>
    </w:r>
    <w:r w:rsidR="00F31BCB">
      <w:rPr>
        <w:rFonts w:ascii="Arial Narrow" w:hAnsi="Arial Narrow" w:cstheme="minorHAnsi"/>
        <w:sz w:val="22"/>
        <w:szCs w:val="20"/>
      </w:rPr>
      <w:t>11</w:t>
    </w:r>
    <w:r w:rsidRPr="00CB353D">
      <w:rPr>
        <w:rFonts w:ascii="Arial Narrow" w:hAnsi="Arial Narrow" w:cstheme="minorHAnsi"/>
        <w:sz w:val="22"/>
        <w:szCs w:val="20"/>
      </w:rPr>
      <w:t xml:space="preserve"> Príručky pre prijímateľa</w:t>
    </w:r>
    <w:r w:rsidRPr="00CB353D">
      <w:rPr>
        <w:rFonts w:ascii="Arial Narrow" w:hAnsi="Arial Narrow"/>
        <w:noProof/>
        <w:lang w:val="en-US" w:eastAsia="en-US"/>
      </w:rPr>
      <w:t xml:space="preserve"> </w:t>
    </w:r>
  </w:p>
  <w:p w:rsidR="0004107F" w:rsidRPr="00CB353D" w:rsidRDefault="0004107F" w:rsidP="0004107F">
    <w:pPr>
      <w:pStyle w:val="Hlavika"/>
      <w:rPr>
        <w:rFonts w:ascii="Arial Narrow" w:hAnsi="Arial Narrow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F" w:rsidRPr="00AC5401" w:rsidRDefault="00615BA6" w:rsidP="0004107F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 w:rsidR="00132A06">
      <w:rPr>
        <w:rFonts w:ascii="Arial" w:hAnsi="Arial" w:cs="Arial"/>
        <w:sz w:val="19"/>
        <w:szCs w:val="19"/>
      </w:rPr>
      <w:t xml:space="preserve">ha príručky pre prijímateľa č. </w:t>
    </w:r>
  </w:p>
  <w:p w:rsidR="0004107F" w:rsidRDefault="0004107F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A55DF"/>
    <w:rsid w:val="000D298C"/>
    <w:rsid w:val="000D6B86"/>
    <w:rsid w:val="000E2AA4"/>
    <w:rsid w:val="00102014"/>
    <w:rsid w:val="00106DA5"/>
    <w:rsid w:val="001147BD"/>
    <w:rsid w:val="00116B38"/>
    <w:rsid w:val="00116F61"/>
    <w:rsid w:val="00123584"/>
    <w:rsid w:val="00132A06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61405"/>
    <w:rsid w:val="00272D0D"/>
    <w:rsid w:val="00274479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3609"/>
    <w:rsid w:val="00307063"/>
    <w:rsid w:val="00311B78"/>
    <w:rsid w:val="00314A6E"/>
    <w:rsid w:val="003215D7"/>
    <w:rsid w:val="003244EF"/>
    <w:rsid w:val="003364CC"/>
    <w:rsid w:val="00355D65"/>
    <w:rsid w:val="003728CC"/>
    <w:rsid w:val="0037670C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D0894"/>
    <w:rsid w:val="003D568C"/>
    <w:rsid w:val="003E141F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70E75"/>
    <w:rsid w:val="00477B8E"/>
    <w:rsid w:val="00490AF9"/>
    <w:rsid w:val="00493EED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B49EF"/>
    <w:rsid w:val="005B4C30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14594"/>
    <w:rsid w:val="00615BA6"/>
    <w:rsid w:val="00622D7A"/>
    <w:rsid w:val="00623EF6"/>
    <w:rsid w:val="00627EA3"/>
    <w:rsid w:val="00631ED3"/>
    <w:rsid w:val="00644D4F"/>
    <w:rsid w:val="006479DF"/>
    <w:rsid w:val="00660DCB"/>
    <w:rsid w:val="006719A0"/>
    <w:rsid w:val="00672B61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6F4F37"/>
    <w:rsid w:val="00702F16"/>
    <w:rsid w:val="00710787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0E0B"/>
    <w:rsid w:val="00854A2E"/>
    <w:rsid w:val="008566E2"/>
    <w:rsid w:val="00863E65"/>
    <w:rsid w:val="00865E76"/>
    <w:rsid w:val="00866043"/>
    <w:rsid w:val="008743E6"/>
    <w:rsid w:val="008806AC"/>
    <w:rsid w:val="00891A08"/>
    <w:rsid w:val="00891EDF"/>
    <w:rsid w:val="008A1561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8F6717"/>
    <w:rsid w:val="0090110D"/>
    <w:rsid w:val="00911D80"/>
    <w:rsid w:val="00912362"/>
    <w:rsid w:val="00913F2B"/>
    <w:rsid w:val="009162FC"/>
    <w:rsid w:val="00917BA5"/>
    <w:rsid w:val="0092115C"/>
    <w:rsid w:val="00926284"/>
    <w:rsid w:val="009320ED"/>
    <w:rsid w:val="00932BD6"/>
    <w:rsid w:val="00944BB0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B76AE"/>
    <w:rsid w:val="00AC5401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1C26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77648"/>
    <w:rsid w:val="00C92BF0"/>
    <w:rsid w:val="00CA208E"/>
    <w:rsid w:val="00CB33DE"/>
    <w:rsid w:val="00CB353D"/>
    <w:rsid w:val="00CB4790"/>
    <w:rsid w:val="00CC21DC"/>
    <w:rsid w:val="00CD3D13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836BC"/>
    <w:rsid w:val="00E90D10"/>
    <w:rsid w:val="00EB7E0A"/>
    <w:rsid w:val="00ED3F33"/>
    <w:rsid w:val="00EE2A15"/>
    <w:rsid w:val="00EE7018"/>
    <w:rsid w:val="00EE70FE"/>
    <w:rsid w:val="00F00622"/>
    <w:rsid w:val="00F0607A"/>
    <w:rsid w:val="00F10B9D"/>
    <w:rsid w:val="00F17B69"/>
    <w:rsid w:val="00F27075"/>
    <w:rsid w:val="00F31BCB"/>
    <w:rsid w:val="00F353B5"/>
    <w:rsid w:val="00F426CF"/>
    <w:rsid w:val="00F4544E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1AA"/>
    <w:rsid w:val="00FD4CCD"/>
    <w:rsid w:val="00FF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0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ListParagraph">
    <w:name w:val="List Paragraph"/>
    <w:basedOn w:val="Normal"/>
    <w:uiPriority w:val="34"/>
    <w:qFormat/>
    <w:rsid w:val="00B948E0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B948E0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Footer">
    <w:name w:val="footer"/>
    <w:basedOn w:val="Normal"/>
    <w:link w:val="Footer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unhideWhenUsed/>
    <w:rsid w:val="008806AC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FootnoteReference">
    <w:name w:val="footnote reference"/>
    <w:basedOn w:val="DefaultParagraphFont"/>
    <w:uiPriority w:val="99"/>
    <w:semiHidden/>
    <w:rsid w:val="008806AC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TableGrid">
    <w:name w:val="Table Grid"/>
    <w:basedOn w:val="TableNormal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TableNormal"/>
    <w:next w:val="TableGrid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TableNormal"/>
    <w:next w:val="TableGrid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TableNormal"/>
    <w:next w:val="TableGrid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TableNormal"/>
    <w:next w:val="TableGrid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TableNormal"/>
    <w:next w:val="TableGrid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TableNormal"/>
    <w:next w:val="TableGrid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TableNormal"/>
    <w:next w:val="TableGrid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TableNormal"/>
    <w:next w:val="TableGrid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Title">
    <w:name w:val="Title"/>
    <w:basedOn w:val="Normal"/>
    <w:next w:val="Normal"/>
    <w:link w:val="Title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C5DD8-060E-441E-BAF4-42269E62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beata.horecna</cp:lastModifiedBy>
  <cp:revision>7</cp:revision>
  <cp:lastPrinted>2015-02-05T16:37:00Z</cp:lastPrinted>
  <dcterms:created xsi:type="dcterms:W3CDTF">2015-05-14T08:25:00Z</dcterms:created>
  <dcterms:modified xsi:type="dcterms:W3CDTF">2015-12-23T10:40:00Z</dcterms:modified>
</cp:coreProperties>
</file>