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9D728B">
              <w:t xml:space="preserve"> 10.12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560156" w:rsidRDefault="00624004">
            <w:pPr>
              <w:rPr>
                <w:b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284846" w:rsidRPr="00560156">
              <w:rPr>
                <w:b/>
              </w:rPr>
              <w:t>S</w:t>
            </w:r>
            <w:r w:rsidR="009D728B" w:rsidRPr="00560156">
              <w:rPr>
                <w:b/>
              </w:rPr>
              <w:t>právca digitálneho obsahu</w:t>
            </w:r>
            <w:r w:rsidRPr="00560156">
              <w:rPr>
                <w:b/>
              </w:rPr>
              <w:t xml:space="preserve"> 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9D728B" w:rsidRPr="00560156" w:rsidRDefault="009D728B" w:rsidP="009D728B">
            <w:pPr>
              <w:rPr>
                <w:rFonts w:ascii="Arial Narrow" w:hAnsi="Arial Narrow"/>
                <w:b/>
              </w:rPr>
            </w:pPr>
            <w:bookmarkStart w:id="0" w:name="_GoBack"/>
            <w:r w:rsidRPr="00560156">
              <w:rPr>
                <w:rFonts w:ascii="Arial Narrow" w:hAnsi="Arial Narrow"/>
                <w:b/>
              </w:rPr>
              <w:t xml:space="preserve">Koncepčné a tvorivé zabezpečovanie a usmerňovanie činnosti pri realizácii  plánov a projektov digitalizácie kultúrnych objektov, plánovanie a logistika tvorby digitálneho obsahu   </w:t>
            </w:r>
          </w:p>
          <w:p w:rsidR="009D728B" w:rsidRPr="00560156" w:rsidRDefault="009D728B" w:rsidP="009D728B">
            <w:pPr>
              <w:rPr>
                <w:rFonts w:ascii="Arial Narrow" w:hAnsi="Arial Narrow"/>
                <w:b/>
              </w:rPr>
            </w:pP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riadenie organizačných zmien, určovanie priorít a metód digitálneho spracovanie a sprístupňovania digitálneho obsahu,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>- kontrola kvality digitálnych objektov s využitím špecifických nástrojov,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kontrola </w:t>
            </w:r>
            <w:proofErr w:type="spellStart"/>
            <w:r w:rsidRPr="00560156">
              <w:rPr>
                <w:rFonts w:ascii="Arial Narrow" w:hAnsi="Arial Narrow"/>
              </w:rPr>
              <w:t>štrukturovaných</w:t>
            </w:r>
            <w:proofErr w:type="spellEnd"/>
            <w:r w:rsidRPr="00560156">
              <w:rPr>
                <w:rFonts w:ascii="Arial Narrow" w:hAnsi="Arial Narrow"/>
              </w:rPr>
              <w:t xml:space="preserve"> </w:t>
            </w:r>
            <w:proofErr w:type="spellStart"/>
            <w:r w:rsidRPr="00560156">
              <w:rPr>
                <w:rFonts w:ascii="Arial Narrow" w:hAnsi="Arial Narrow"/>
              </w:rPr>
              <w:t>metadát</w:t>
            </w:r>
            <w:proofErr w:type="spellEnd"/>
            <w:r w:rsidRPr="00560156">
              <w:rPr>
                <w:rFonts w:ascii="Arial Narrow" w:hAnsi="Arial Narrow"/>
              </w:rPr>
              <w:t xml:space="preserve"> v súlade s medzinárodnými normami a štandardami digitalizácie, vrátane zodpovednosti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  za ich dodržiavanie,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kooperácia a koordinácia digitalizácie s pamäťovými fondovými inštitúciami na odbornej, regionálnej a národnej úrovni,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>vrátane budovania, riadenia a vedenia registrov digitalizácie,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koordinácia tvorby </w:t>
            </w:r>
            <w:proofErr w:type="spellStart"/>
            <w:r w:rsidRPr="00560156">
              <w:rPr>
                <w:rFonts w:ascii="Arial Narrow" w:hAnsi="Arial Narrow"/>
              </w:rPr>
              <w:t>digitalizačných</w:t>
            </w:r>
            <w:proofErr w:type="spellEnd"/>
            <w:r w:rsidRPr="00560156">
              <w:rPr>
                <w:rFonts w:ascii="Arial Narrow" w:hAnsi="Arial Narrow"/>
              </w:rPr>
              <w:t xml:space="preserve"> plánov,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</w:t>
            </w:r>
            <w:proofErr w:type="spellStart"/>
            <w:r w:rsidRPr="00560156">
              <w:rPr>
                <w:rFonts w:ascii="Arial Narrow" w:hAnsi="Arial Narrow"/>
              </w:rPr>
              <w:t>reporting</w:t>
            </w:r>
            <w:proofErr w:type="spellEnd"/>
            <w:r w:rsidRPr="00560156">
              <w:rPr>
                <w:rFonts w:ascii="Arial Narrow" w:hAnsi="Arial Narrow"/>
              </w:rPr>
              <w:t xml:space="preserve"> a štatistická analýza digitalizácie,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koordinácia </w:t>
            </w:r>
            <w:proofErr w:type="spellStart"/>
            <w:r w:rsidRPr="00560156">
              <w:rPr>
                <w:rFonts w:ascii="Arial Narrow" w:hAnsi="Arial Narrow"/>
              </w:rPr>
              <w:t>ingestu</w:t>
            </w:r>
            <w:proofErr w:type="spellEnd"/>
            <w:r w:rsidRPr="00560156">
              <w:rPr>
                <w:rFonts w:ascii="Arial Narrow" w:hAnsi="Arial Narrow"/>
              </w:rPr>
              <w:t xml:space="preserve"> a </w:t>
            </w:r>
            <w:proofErr w:type="spellStart"/>
            <w:r w:rsidRPr="00560156">
              <w:rPr>
                <w:rFonts w:ascii="Arial Narrow" w:hAnsi="Arial Narrow"/>
              </w:rPr>
              <w:t>disseminácie</w:t>
            </w:r>
            <w:proofErr w:type="spellEnd"/>
            <w:r w:rsidRPr="00560156">
              <w:rPr>
                <w:rFonts w:ascii="Arial Narrow" w:hAnsi="Arial Narrow"/>
              </w:rPr>
              <w:t xml:space="preserve"> (vkladu a výberu) digitálnych dát pre pamäťové fondové inštitúcie, 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 xml:space="preserve">- kontrola technickej a umeleckej stránky digitálnych objektov s využitím nástrojov na zabezpečenie  dátovej kvality, 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>- zber a kontrola konzistencie dát v procese uloženia do dátového archívu,</w:t>
            </w:r>
          </w:p>
          <w:p w:rsidR="009D728B" w:rsidRPr="00560156" w:rsidRDefault="009D728B" w:rsidP="009D728B">
            <w:pPr>
              <w:rPr>
                <w:rFonts w:ascii="Arial Narrow" w:hAnsi="Arial Narrow"/>
              </w:rPr>
            </w:pPr>
            <w:r w:rsidRPr="00560156">
              <w:rPr>
                <w:rFonts w:ascii="Arial Narrow" w:hAnsi="Arial Narrow"/>
              </w:rPr>
              <w:t>- prednášková,  expertízna a edičná činnosť.</w:t>
            </w:r>
          </w:p>
          <w:bookmarkEnd w:id="0"/>
          <w:p w:rsidR="00624004" w:rsidRPr="009D728B" w:rsidRDefault="00624004">
            <w:pPr>
              <w:rPr>
                <w:color w:val="FF0000"/>
              </w:rPr>
            </w:pP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240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A1.6 – VŠ</w:t>
            </w:r>
            <w:r w:rsidRPr="00A0453A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>160</w:t>
            </w:r>
          </w:p>
          <w:p w:rsidR="009D728B" w:rsidRPr="00A0453A" w:rsidRDefault="009D728B" w:rsidP="00681527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A3.6 – odborná prax nad</w:t>
            </w:r>
            <w:r w:rsidRPr="00A0453A">
              <w:rPr>
                <w:spacing w:val="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9 rokov</w:t>
            </w:r>
            <w:r w:rsidRPr="00A0453A">
              <w:rPr>
                <w:sz w:val="20"/>
                <w:lang w:val="sk-SK"/>
              </w:rPr>
              <w:tab/>
              <w:t>80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200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B1.I.5/II.4 – samostatná špecializovaná </w:t>
            </w:r>
            <w:r>
              <w:rPr>
                <w:sz w:val="20"/>
                <w:lang w:val="sk-SK"/>
              </w:rPr>
              <w:t>zložitá</w:t>
            </w:r>
            <w:r w:rsidRPr="00A0453A">
              <w:rPr>
                <w:sz w:val="20"/>
                <w:lang w:val="sk-SK"/>
              </w:rPr>
              <w:t xml:space="preserve"> </w:t>
            </w:r>
            <w:proofErr w:type="spellStart"/>
            <w:r w:rsidRPr="00A0453A">
              <w:rPr>
                <w:sz w:val="20"/>
                <w:lang w:val="sk-SK"/>
              </w:rPr>
              <w:t>zložitá</w:t>
            </w:r>
            <w:proofErr w:type="spellEnd"/>
            <w:r w:rsidRPr="00A0453A">
              <w:rPr>
                <w:sz w:val="20"/>
                <w:lang w:val="sk-SK"/>
              </w:rPr>
              <w:t xml:space="preserve"> práca s</w:t>
            </w:r>
            <w:r>
              <w:rPr>
                <w:sz w:val="20"/>
                <w:lang w:val="sk-SK"/>
              </w:rPr>
              <w:t> vysokými nárokmi na kreatívne myslenie,      140</w:t>
            </w:r>
          </w:p>
          <w:p w:rsidR="009D728B" w:rsidRPr="00A0453A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na riadenie tímovej práce, na riešenie problémov v danom odbore</w:t>
            </w:r>
            <w:r w:rsidRPr="00A0453A">
              <w:rPr>
                <w:sz w:val="20"/>
                <w:lang w:val="sk-SK"/>
              </w:rPr>
              <w:tab/>
            </w:r>
          </w:p>
          <w:p w:rsidR="009D728B" w:rsidRPr="00A0453A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B2.3</w:t>
            </w:r>
            <w:r>
              <w:rPr>
                <w:sz w:val="20"/>
                <w:lang w:val="sk-SK"/>
              </w:rPr>
              <w:t xml:space="preserve">          – práca s výpočtovou   technikou                                                                                                         </w:t>
            </w:r>
            <w:r w:rsidRPr="00A0453A">
              <w:rPr>
                <w:sz w:val="20"/>
                <w:lang w:val="sk-SK"/>
              </w:rPr>
              <w:t>20</w:t>
            </w:r>
          </w:p>
          <w:p w:rsidR="009D728B" w:rsidRDefault="009D728B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B3.4</w:t>
            </w:r>
            <w:r>
              <w:rPr>
                <w:sz w:val="20"/>
                <w:lang w:val="sk-SK"/>
              </w:rPr>
              <w:t xml:space="preserve">          – riešenie zložitých úloh vyžadujúcich  medzirezortnú  spoluprácu s viacerými organizáciami        40</w:t>
            </w:r>
          </w:p>
          <w:p w:rsidR="009D728B" w:rsidRDefault="009D728B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rôzneho charakteru  (kultúrne, vzdelávacie) vrátane tretieho sektora, spolupráca </w:t>
            </w:r>
          </w:p>
          <w:p w:rsidR="009D728B" w:rsidRDefault="009D728B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  <w:r w:rsidR="00644300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 xml:space="preserve"> s jednotlivcami a doma aj zahraničí, </w:t>
            </w:r>
            <w:r w:rsidR="00644300">
              <w:rPr>
                <w:sz w:val="20"/>
                <w:lang w:val="sk-SK"/>
              </w:rPr>
              <w:t xml:space="preserve">nevyhnutnosť prepojenia výkonu s ostatnými </w:t>
            </w:r>
          </w:p>
          <w:p w:rsidR="00644300" w:rsidRDefault="00644300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úsekmi v organizácii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:135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C1.5 – zodpovednosť za odbornú špecializovanú prácu s</w:t>
            </w:r>
            <w:r w:rsidRPr="00A0453A">
              <w:rPr>
                <w:spacing w:val="-8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celospoločenským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dopadom</w:t>
            </w:r>
            <w:r w:rsidRPr="00A0453A">
              <w:rPr>
                <w:sz w:val="20"/>
                <w:lang w:val="sk-SK"/>
              </w:rPr>
              <w:tab/>
              <w:t>135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72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D1.I.1/II.2 – bežná </w:t>
            </w:r>
            <w:proofErr w:type="spellStart"/>
            <w:r w:rsidRPr="00A0453A">
              <w:rPr>
                <w:sz w:val="20"/>
                <w:lang w:val="sk-SK"/>
              </w:rPr>
              <w:t>fyzická</w:t>
            </w:r>
            <w:r w:rsidR="00644300">
              <w:rPr>
                <w:sz w:val="20"/>
                <w:lang w:val="sk-SK"/>
              </w:rPr>
              <w:t>záťaž</w:t>
            </w:r>
            <w:proofErr w:type="spellEnd"/>
            <w:r w:rsidRPr="00A0453A">
              <w:rPr>
                <w:sz w:val="20"/>
                <w:lang w:val="sk-SK"/>
              </w:rPr>
              <w:t xml:space="preserve"> 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sede</w:t>
            </w:r>
            <w:r w:rsidRPr="00A0453A">
              <w:rPr>
                <w:sz w:val="20"/>
                <w:lang w:val="sk-SK"/>
              </w:rPr>
              <w:tab/>
              <w:t>7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D2.A3/B3 – práce vyžadujúce dodržiavanie plánu s vysokým nárokom na pozornosť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myslenie</w:t>
            </w:r>
            <w:r w:rsidRPr="00A0453A">
              <w:rPr>
                <w:sz w:val="20"/>
                <w:lang w:val="sk-SK"/>
              </w:rPr>
              <w:tab/>
              <w:t>30</w:t>
            </w:r>
          </w:p>
          <w:p w:rsidR="009D728B" w:rsidRDefault="009D728B" w:rsidP="00644300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4a  2/2</w:t>
            </w:r>
            <w:r w:rsidR="00644300">
              <w:rPr>
                <w:sz w:val="20"/>
                <w:lang w:val="sk-SK"/>
              </w:rPr>
              <w:t xml:space="preserve">       – riziko </w:t>
            </w:r>
            <w:r w:rsidRPr="00A0453A">
              <w:rPr>
                <w:sz w:val="20"/>
                <w:lang w:val="sk-SK"/>
              </w:rPr>
              <w:t xml:space="preserve"> psychickej ujmy pri</w:t>
            </w:r>
            <w:r w:rsidRPr="00A0453A">
              <w:rPr>
                <w:spacing w:val="-1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výkone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prác</w:t>
            </w:r>
            <w:r w:rsidR="00644300">
              <w:rPr>
                <w:sz w:val="20"/>
                <w:lang w:val="sk-SK"/>
              </w:rPr>
              <w:t>, nutnosť zvládania stresových situácií,</w:t>
            </w:r>
            <w:r w:rsidRPr="00A0453A">
              <w:rPr>
                <w:sz w:val="20"/>
                <w:lang w:val="sk-SK"/>
              </w:rPr>
              <w:tab/>
              <w:t>15</w:t>
            </w:r>
          </w:p>
          <w:p w:rsidR="00644300" w:rsidRDefault="00644300" w:rsidP="00644300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pravidelný kontakt  so stránkami, práce vyžadujúce dodržiavanie plnenia úloh</w:t>
            </w:r>
          </w:p>
          <w:p w:rsidR="00644300" w:rsidRDefault="00644300" w:rsidP="00644300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a termínov s vysokými nárokmi na pozornosť a myslenie, riešenie zložitých problémov,</w:t>
            </w:r>
          </w:p>
          <w:p w:rsidR="00644300" w:rsidRPr="00A0453A" w:rsidRDefault="00644300" w:rsidP="00644300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zvládnuteľných so zvýšeným zaťažením zmyslových orgánov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8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II3/III1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 k riešeniu zložitých problémov sú potrebné konzultácie, špeciálne podklady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pod.</w:t>
            </w:r>
            <w:r w:rsidRPr="00A0453A">
              <w:rPr>
                <w:sz w:val="20"/>
                <w:lang w:val="sk-SK"/>
              </w:rPr>
              <w:tab/>
              <w:t>20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</w:p>
          <w:p w:rsidR="009D728B" w:rsidRPr="00A0453A" w:rsidRDefault="009D728B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647</w:t>
            </w: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117031"/>
    <w:rsid w:val="001B6866"/>
    <w:rsid w:val="001B76FE"/>
    <w:rsid w:val="001F1DF3"/>
    <w:rsid w:val="00205474"/>
    <w:rsid w:val="00246784"/>
    <w:rsid w:val="00284846"/>
    <w:rsid w:val="002E288C"/>
    <w:rsid w:val="00384454"/>
    <w:rsid w:val="003A41F4"/>
    <w:rsid w:val="00560156"/>
    <w:rsid w:val="00624004"/>
    <w:rsid w:val="00644300"/>
    <w:rsid w:val="007F40E3"/>
    <w:rsid w:val="009A0423"/>
    <w:rsid w:val="009D5F39"/>
    <w:rsid w:val="009D728B"/>
    <w:rsid w:val="00A5301F"/>
    <w:rsid w:val="00AB4BBA"/>
    <w:rsid w:val="00AE3CE1"/>
    <w:rsid w:val="00F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3</cp:revision>
  <dcterms:created xsi:type="dcterms:W3CDTF">2018-04-19T12:47:00Z</dcterms:created>
  <dcterms:modified xsi:type="dcterms:W3CDTF">2018-12-07T11:32:00Z</dcterms:modified>
</cp:coreProperties>
</file>