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ov"/>
        <w:rPr/>
      </w:pPr>
      <w:r>
        <w:rPr/>
        <w:t xml:space="preserve">Manažment údajov a štatistika </w:t>
        <w:br/>
        <w:t>– Návrh štruktúry ceny</w:t>
      </w:r>
    </w:p>
    <w:p>
      <w:pPr>
        <w:pStyle w:val="Normal"/>
        <w:jc w:val="both"/>
        <w:rPr/>
      </w:pPr>
      <w:r>
        <w:rPr/>
        <w:t>Nasledujúci dokument predstavuje návrh štruktúry ceny projektu Ministerstva kultúry SR v oblasti manažmentu údajov rezortu.</w:t>
      </w:r>
    </w:p>
    <w:p>
      <w:pPr>
        <w:pStyle w:val="Normal"/>
        <w:jc w:val="both"/>
        <w:rPr/>
      </w:pPr>
      <w:r>
        <w:rPr/>
        <w:t>Cena je definovaná nasledovne:</w:t>
      </w:r>
    </w:p>
    <w:p>
      <w:pPr>
        <w:pStyle w:val="ListParagraph"/>
        <w:numPr>
          <w:ilvl w:val="1"/>
          <w:numId w:val="1"/>
        </w:numPr>
        <w:ind w:start="426" w:hanging="360"/>
        <w:rPr/>
      </w:pPr>
      <w:r>
        <w:rPr/>
        <w:t xml:space="preserve">Dodávka diela </w:t>
      </w:r>
    </w:p>
    <w:p>
      <w:pPr>
        <w:pStyle w:val="ListParagraph"/>
        <w:numPr>
          <w:ilvl w:val="1"/>
          <w:numId w:val="1"/>
        </w:numPr>
        <w:ind w:start="426" w:hanging="360"/>
        <w:rPr/>
      </w:pPr>
      <w:r>
        <w:rPr/>
        <w:t>Zabezpečenie Paušálnych služieb prevádzky</w:t>
      </w:r>
    </w:p>
    <w:p>
      <w:pPr>
        <w:pStyle w:val="ListParagraph"/>
        <w:numPr>
          <w:ilvl w:val="1"/>
          <w:numId w:val="1"/>
        </w:numPr>
        <w:ind w:start="426" w:hanging="360"/>
        <w:rPr/>
      </w:pPr>
      <w:r>
        <w:rPr/>
        <w:t>Zabezpečenie Objednávkových služieb rozvoja diela</w:t>
      </w:r>
    </w:p>
    <w:p>
      <w:pPr>
        <w:pStyle w:val="Nadpis1"/>
        <w:rPr/>
      </w:pPr>
      <w:r>
        <w:rPr/>
        <w:t>Dodávka diela</w:t>
      </w:r>
    </w:p>
    <w:p>
      <w:pPr>
        <w:pStyle w:val="Normal"/>
        <w:rPr/>
      </w:pPr>
      <w:r>
        <w:rPr/>
        <w:t>Dodávka diela je zložená z dvoch základných IS:</w:t>
      </w:r>
    </w:p>
    <w:p>
      <w:pPr>
        <w:pStyle w:val="ListParagraph"/>
        <w:numPr>
          <w:ilvl w:val="1"/>
          <w:numId w:val="1"/>
        </w:numPr>
        <w:ind w:start="426" w:hanging="360"/>
        <w:rPr/>
      </w:pPr>
      <w:r>
        <w:rPr/>
        <w:t>Centrálna správa registrov a evidencií - ISVS_9914 – jedná sa o vybudovanie informačného systému a implementáciu procesov manažmentu údajov a štúdie uskutočniteľnosti</w:t>
      </w:r>
    </w:p>
    <w:p>
      <w:pPr>
        <w:pStyle w:val="ListParagraph"/>
        <w:numPr>
          <w:ilvl w:val="1"/>
          <w:numId w:val="1"/>
        </w:numPr>
        <w:ind w:start="426" w:hanging="360"/>
        <w:rPr/>
      </w:pPr>
      <w:r>
        <w:rPr/>
        <w:t>Elektronický systém štatistického zisťovania KULT – ISVS_361 – jedná sa o rozvoj informačného systému a implementáciu spoločných modulov IS Štatistických údajov</w:t>
      </w:r>
    </w:p>
    <w:p>
      <w:pPr>
        <w:pStyle w:val="Normal"/>
        <w:jc w:val="both"/>
        <w:rPr/>
      </w:pPr>
      <w:r>
        <w:rPr/>
        <w:t>Pričom dodávka diela sa môže skladať z nasledujúcich položiek:</w:t>
      </w:r>
    </w:p>
    <w:p>
      <w:pPr>
        <w:pStyle w:val="ListParagraph"/>
        <w:numPr>
          <w:ilvl w:val="1"/>
          <w:numId w:val="1"/>
        </w:numPr>
        <w:ind w:start="426" w:hanging="360"/>
        <w:rPr/>
      </w:pPr>
      <w:r>
        <w:rPr/>
        <w:t>Dodávka prác</w:t>
      </w:r>
    </w:p>
    <w:p>
      <w:pPr>
        <w:pStyle w:val="ListParagraph"/>
        <w:numPr>
          <w:ilvl w:val="1"/>
          <w:numId w:val="1"/>
        </w:numPr>
        <w:ind w:start="426" w:hanging="360"/>
        <w:rPr/>
      </w:pPr>
      <w:r>
        <w:rPr/>
        <w:t xml:space="preserve">Nákup HW a krabicového SW. </w:t>
      </w:r>
    </w:p>
    <w:p>
      <w:pPr>
        <w:pStyle w:val="Nadpis2"/>
        <w:rPr/>
      </w:pPr>
      <w:r>
        <w:rPr/>
        <w:t>Dodávka prác</w:t>
      </w:r>
    </w:p>
    <w:p>
      <w:pPr>
        <w:pStyle w:val="Normal"/>
        <w:rPr/>
      </w:pPr>
      <w:r>
        <w:rPr/>
        <w:t>Je potrebné naceniť dodávku prác samostatne pre každú definovanú pracovnú pozíciu ako aj pre ISVS a fázu projektu. Štruktúra návrhu ceny je nasledovná:</w:t>
      </w:r>
    </w:p>
    <w:p>
      <w:pPr>
        <w:pStyle w:val="ListParagraph"/>
        <w:numPr>
          <w:ilvl w:val="1"/>
          <w:numId w:val="1"/>
        </w:numPr>
        <w:ind w:start="426" w:hanging="360"/>
        <w:rPr/>
      </w:pPr>
      <w:r>
        <w:rPr/>
        <w:t>P.č.</w:t>
      </w:r>
    </w:p>
    <w:p>
      <w:pPr>
        <w:pStyle w:val="ListParagraph"/>
        <w:numPr>
          <w:ilvl w:val="1"/>
          <w:numId w:val="1"/>
        </w:numPr>
        <w:ind w:start="426" w:hanging="360"/>
        <w:rPr/>
      </w:pPr>
      <w:r>
        <w:rPr/>
        <w:t>ISVS</w:t>
      </w:r>
    </w:p>
    <w:p>
      <w:pPr>
        <w:pStyle w:val="ListParagraph"/>
        <w:numPr>
          <w:ilvl w:val="1"/>
          <w:numId w:val="1"/>
        </w:numPr>
        <w:ind w:start="426" w:hanging="360"/>
        <w:rPr/>
      </w:pPr>
      <w:r>
        <w:rPr/>
        <w:t>Skupina aktivít</w:t>
      </w:r>
    </w:p>
    <w:p>
      <w:pPr>
        <w:pStyle w:val="ListParagraph"/>
        <w:numPr>
          <w:ilvl w:val="1"/>
          <w:numId w:val="1"/>
        </w:numPr>
        <w:ind w:start="426" w:hanging="360"/>
        <w:rPr/>
      </w:pPr>
      <w:r>
        <w:rPr/>
        <w:t>Fáza projektu</w:t>
      </w:r>
    </w:p>
    <w:p>
      <w:pPr>
        <w:pStyle w:val="ListParagraph"/>
        <w:numPr>
          <w:ilvl w:val="1"/>
          <w:numId w:val="1"/>
        </w:numPr>
        <w:ind w:start="426" w:hanging="360"/>
        <w:rPr/>
      </w:pPr>
      <w:r>
        <w:rPr/>
        <w:t>Pozícia</w:t>
      </w:r>
    </w:p>
    <w:p>
      <w:pPr>
        <w:pStyle w:val="ListParagraph"/>
        <w:numPr>
          <w:ilvl w:val="1"/>
          <w:numId w:val="1"/>
        </w:numPr>
        <w:ind w:start="426" w:hanging="360"/>
        <w:rPr/>
      </w:pPr>
      <w:r>
        <w:rPr/>
        <w:t>Názov aktivity</w:t>
      </w:r>
    </w:p>
    <w:p>
      <w:pPr>
        <w:pStyle w:val="ListParagraph"/>
        <w:numPr>
          <w:ilvl w:val="1"/>
          <w:numId w:val="1"/>
        </w:numPr>
        <w:ind w:start="426" w:hanging="360"/>
        <w:rPr/>
      </w:pPr>
      <w:r>
        <w:rPr/>
        <w:t>Skupina  výdavkov</w:t>
      </w:r>
    </w:p>
    <w:p>
      <w:pPr>
        <w:pStyle w:val="ListParagraph"/>
        <w:numPr>
          <w:ilvl w:val="1"/>
          <w:numId w:val="1"/>
        </w:numPr>
        <w:ind w:start="426" w:hanging="360"/>
        <w:rPr/>
      </w:pPr>
      <w:r>
        <w:rPr/>
        <w:t>MJ</w:t>
        <w:tab/>
        <w:t xml:space="preserve"> </w:t>
      </w:r>
    </w:p>
    <w:p>
      <w:pPr>
        <w:pStyle w:val="ListParagraph"/>
        <w:numPr>
          <w:ilvl w:val="1"/>
          <w:numId w:val="1"/>
        </w:numPr>
        <w:ind w:start="426" w:hanging="360"/>
        <w:rPr>
          <w:b/>
          <w:b/>
          <w:bCs/>
          <w:i/>
          <w:i/>
          <w:iCs/>
          <w:highlight w:val="yellow"/>
        </w:rPr>
      </w:pPr>
      <w:r>
        <w:rPr>
          <w:b/>
          <w:bCs/>
          <w:i/>
          <w:iCs/>
          <w:highlight w:val="yellow"/>
        </w:rPr>
        <w:t>Jednotková cena bez DPH (v EUR) – potrebné určiť</w:t>
      </w:r>
    </w:p>
    <w:p>
      <w:pPr>
        <w:pStyle w:val="ListParagraph"/>
        <w:numPr>
          <w:ilvl w:val="1"/>
          <w:numId w:val="1"/>
        </w:numPr>
        <w:ind w:start="426" w:hanging="360"/>
        <w:rPr>
          <w:b/>
          <w:b/>
          <w:bCs/>
          <w:i/>
          <w:i/>
          <w:iCs/>
          <w:highlight w:val="yellow"/>
        </w:rPr>
      </w:pPr>
      <w:r>
        <w:rPr>
          <w:b/>
          <w:bCs/>
          <w:i/>
          <w:iCs/>
          <w:highlight w:val="yellow"/>
        </w:rPr>
        <w:t>Počet jednotiek – potrebné určiť</w:t>
      </w:r>
    </w:p>
    <w:p>
      <w:pPr>
        <w:pStyle w:val="ListParagraph"/>
        <w:numPr>
          <w:ilvl w:val="1"/>
          <w:numId w:val="1"/>
        </w:numPr>
        <w:ind w:start="426" w:hanging="360"/>
        <w:rPr/>
      </w:pPr>
      <w:r>
        <w:rPr/>
        <w:t>Spolu bez DPH (v EUR)</w:t>
      </w:r>
    </w:p>
    <w:p>
      <w:pPr>
        <w:pStyle w:val="ListParagraph"/>
        <w:numPr>
          <w:ilvl w:val="1"/>
          <w:numId w:val="1"/>
        </w:numPr>
        <w:ind w:start="426" w:hanging="360"/>
        <w:rPr/>
      </w:pPr>
      <w:r>
        <w:rPr/>
        <w:t>Spolu s DPH (v EUR)</w:t>
      </w:r>
    </w:p>
    <w:p>
      <w:pPr>
        <w:pStyle w:val="Normal"/>
        <w:rPr/>
      </w:pPr>
      <w:r>
        <w:rPr/>
        <w:t xml:space="preserve">Detailná štruktúra ceny pre definovanie hodnoty dodávky prác je v prílohe vo formáte </w:t>
      </w:r>
      <w:r>
        <w:rPr/>
        <w:t>elektronickej tabuľky</w:t>
      </w:r>
      <w:r>
        <w:rPr/>
        <w:t xml:space="preserve">. </w:t>
      </w:r>
    </w:p>
    <w:p>
      <w:pPr>
        <w:pStyle w:val="Nadpis2"/>
        <w:rPr/>
      </w:pPr>
      <w:r>
        <w:rPr/>
      </w:r>
      <w:r>
        <w:br w:type="page"/>
      </w:r>
    </w:p>
    <w:p>
      <w:pPr>
        <w:pStyle w:val="Nadpis2"/>
        <w:rPr/>
      </w:pPr>
      <w:r>
        <w:rPr/>
        <w:t>Nákup HW a krabicového SW</w:t>
      </w:r>
    </w:p>
    <w:p>
      <w:pPr>
        <w:pStyle w:val="Normal"/>
        <w:rPr/>
      </w:pPr>
      <w:r>
        <w:rPr/>
        <w:t>V tomto prípade je potrebné na základe OPZ definovať prípadne potrebné HW komponenty alebo „krabicové“ SW, ktoré budú potrebné pre dodávku diela v zmysle OPZ. Štruktúra ceny je nasledovná:</w:t>
      </w:r>
    </w:p>
    <w:p>
      <w:pPr>
        <w:pStyle w:val="ListParagraph"/>
        <w:numPr>
          <w:ilvl w:val="1"/>
          <w:numId w:val="1"/>
        </w:numPr>
        <w:ind w:start="426" w:hanging="360"/>
        <w:rPr/>
      </w:pPr>
      <w:r>
        <w:rPr/>
        <w:t>P.č.</w:t>
      </w:r>
    </w:p>
    <w:p>
      <w:pPr>
        <w:pStyle w:val="ListParagraph"/>
        <w:numPr>
          <w:ilvl w:val="1"/>
          <w:numId w:val="1"/>
        </w:numPr>
        <w:ind w:start="426" w:hanging="360"/>
        <w:rPr/>
      </w:pPr>
      <w:r>
        <w:rPr/>
        <w:t>ISVS</w:t>
      </w:r>
    </w:p>
    <w:p>
      <w:pPr>
        <w:pStyle w:val="ListParagraph"/>
        <w:numPr>
          <w:ilvl w:val="1"/>
          <w:numId w:val="1"/>
        </w:numPr>
        <w:ind w:start="426" w:hanging="360"/>
        <w:rPr/>
      </w:pPr>
      <w:r>
        <w:rPr/>
        <w:t>Skupina aktivít</w:t>
      </w:r>
    </w:p>
    <w:p>
      <w:pPr>
        <w:pStyle w:val="ListParagraph"/>
        <w:numPr>
          <w:ilvl w:val="1"/>
          <w:numId w:val="1"/>
        </w:numPr>
        <w:ind w:start="426" w:hanging="360"/>
        <w:rPr/>
      </w:pPr>
      <w:r>
        <w:rPr/>
        <w:t>Fáza projektu</w:t>
      </w:r>
    </w:p>
    <w:p>
      <w:pPr>
        <w:pStyle w:val="ListParagraph"/>
        <w:numPr>
          <w:ilvl w:val="1"/>
          <w:numId w:val="1"/>
        </w:numPr>
        <w:ind w:start="426" w:hanging="360"/>
        <w:rPr>
          <w:b/>
          <w:b/>
          <w:bCs/>
          <w:i/>
          <w:i/>
          <w:iCs/>
          <w:highlight w:val="yellow"/>
        </w:rPr>
      </w:pPr>
      <w:r>
        <w:rPr>
          <w:b/>
          <w:bCs/>
          <w:i/>
          <w:iCs/>
          <w:highlight w:val="yellow"/>
        </w:rPr>
        <w:t>Položka – potrebné určiť</w:t>
      </w:r>
    </w:p>
    <w:p>
      <w:pPr>
        <w:pStyle w:val="ListParagraph"/>
        <w:numPr>
          <w:ilvl w:val="1"/>
          <w:numId w:val="1"/>
        </w:numPr>
        <w:ind w:start="426" w:hanging="360"/>
        <w:rPr>
          <w:b/>
          <w:b/>
          <w:bCs/>
          <w:i/>
          <w:i/>
          <w:iCs/>
          <w:highlight w:val="yellow"/>
        </w:rPr>
      </w:pPr>
      <w:r>
        <w:rPr>
          <w:b/>
          <w:bCs/>
          <w:i/>
          <w:iCs/>
          <w:highlight w:val="yellow"/>
        </w:rPr>
        <w:t>Skupina výdavkov – potrebné určiť</w:t>
      </w:r>
    </w:p>
    <w:p>
      <w:pPr>
        <w:pStyle w:val="ListParagraph"/>
        <w:numPr>
          <w:ilvl w:val="1"/>
          <w:numId w:val="1"/>
        </w:numPr>
        <w:ind w:start="426" w:hanging="360"/>
        <w:rPr>
          <w:b/>
          <w:b/>
          <w:bCs/>
          <w:i/>
          <w:i/>
          <w:iCs/>
          <w:highlight w:val="yellow"/>
        </w:rPr>
      </w:pPr>
      <w:r>
        <w:rPr>
          <w:b/>
          <w:bCs/>
          <w:i/>
          <w:iCs/>
          <w:highlight w:val="yellow"/>
        </w:rPr>
        <w:t>MJ – potrebné určiť</w:t>
      </w:r>
    </w:p>
    <w:p>
      <w:pPr>
        <w:pStyle w:val="ListParagraph"/>
        <w:numPr>
          <w:ilvl w:val="1"/>
          <w:numId w:val="1"/>
        </w:numPr>
        <w:ind w:start="426" w:hanging="360"/>
        <w:rPr>
          <w:b/>
          <w:b/>
          <w:bCs/>
          <w:i/>
          <w:i/>
          <w:iCs/>
          <w:highlight w:val="yellow"/>
        </w:rPr>
      </w:pPr>
      <w:r>
        <w:rPr>
          <w:b/>
          <w:bCs/>
          <w:i/>
          <w:iCs/>
          <w:highlight w:val="yellow"/>
        </w:rPr>
        <w:t>Jednotková cena bez DPH (v EUR) – potrebné určiť</w:t>
      </w:r>
    </w:p>
    <w:p>
      <w:pPr>
        <w:pStyle w:val="ListParagraph"/>
        <w:numPr>
          <w:ilvl w:val="1"/>
          <w:numId w:val="1"/>
        </w:numPr>
        <w:ind w:start="426" w:hanging="360"/>
        <w:rPr>
          <w:b/>
          <w:b/>
          <w:bCs/>
          <w:i/>
          <w:i/>
          <w:iCs/>
        </w:rPr>
      </w:pPr>
      <w:r>
        <w:rPr>
          <w:b/>
          <w:bCs/>
          <w:i/>
          <w:iCs/>
          <w:highlight w:val="yellow"/>
        </w:rPr>
        <w:t>Počet jednotiek – potrebné určiť</w:t>
      </w:r>
    </w:p>
    <w:p>
      <w:pPr>
        <w:pStyle w:val="ListParagraph"/>
        <w:numPr>
          <w:ilvl w:val="1"/>
          <w:numId w:val="1"/>
        </w:numPr>
        <w:ind w:start="426" w:hanging="360"/>
        <w:rPr/>
      </w:pPr>
      <w:r>
        <w:rPr/>
        <w:t>Spolu bez DPH (v EUR)</w:t>
      </w:r>
    </w:p>
    <w:p>
      <w:pPr>
        <w:pStyle w:val="ListParagraph"/>
        <w:numPr>
          <w:ilvl w:val="1"/>
          <w:numId w:val="1"/>
        </w:numPr>
        <w:ind w:start="426" w:hanging="360"/>
        <w:rPr/>
      </w:pPr>
      <w:r>
        <w:rPr/>
        <w:t>Spolu s DPH (v EUR)</w:t>
      </w:r>
    </w:p>
    <w:p>
      <w:pPr>
        <w:pStyle w:val="Normal"/>
        <w:rPr/>
      </w:pPr>
      <w:r>
        <w:rPr/>
        <w:t>Detailná štruktúra ceny pre definovanie hodnoty dodávky prác je v prílohe vo formáte excelu.</w:t>
      </w:r>
    </w:p>
    <w:p>
      <w:pPr>
        <w:pStyle w:val="Nadpis1"/>
        <w:rPr/>
      </w:pPr>
      <w:r>
        <w:rPr/>
        <w:t>Zabezpečenie Paušálnych služieb prevádzky</w:t>
      </w:r>
    </w:p>
    <w:p>
      <w:pPr>
        <w:pStyle w:val="Normal"/>
        <w:rPr/>
      </w:pPr>
      <w:r>
        <w:rPr/>
        <w:t>Jedná sa o zabezpečenie služby technickej podpory prevádzky, údržby a Systémov v nasledovnom rozsahu:</w:t>
      </w:r>
    </w:p>
    <w:p>
      <w:pPr>
        <w:pStyle w:val="ListParagraph"/>
        <w:numPr>
          <w:ilvl w:val="0"/>
          <w:numId w:val="2"/>
        </w:numPr>
        <w:ind w:start="426" w:hanging="360"/>
        <w:jc w:val="both"/>
        <w:rPr/>
      </w:pPr>
      <w:r>
        <w:rPr/>
        <w:t>poskytovanie služieb servisného hotline,</w:t>
      </w:r>
    </w:p>
    <w:p>
      <w:pPr>
        <w:pStyle w:val="ListParagraph"/>
        <w:numPr>
          <w:ilvl w:val="0"/>
          <w:numId w:val="2"/>
        </w:numPr>
        <w:ind w:start="426" w:hanging="360"/>
        <w:jc w:val="both"/>
        <w:rPr/>
      </w:pPr>
      <w:r>
        <w:rPr/>
        <w:t>podpora pri realizácii prevádzkových zásahov (podpora prevádzky systému),</w:t>
      </w:r>
    </w:p>
    <w:p>
      <w:pPr>
        <w:pStyle w:val="ListParagraph"/>
        <w:numPr>
          <w:ilvl w:val="0"/>
          <w:numId w:val="2"/>
        </w:numPr>
        <w:ind w:start="426" w:hanging="360"/>
        <w:jc w:val="both"/>
        <w:rPr/>
      </w:pPr>
      <w:r>
        <w:rPr/>
        <w:t>realizácia pravidelných preventívnych zásahov (profylaktika a monitoring),</w:t>
        <w:tab/>
      </w:r>
    </w:p>
    <w:p>
      <w:pPr>
        <w:pStyle w:val="ListParagraph"/>
        <w:numPr>
          <w:ilvl w:val="0"/>
          <w:numId w:val="2"/>
        </w:numPr>
        <w:ind w:start="426" w:hanging="360"/>
        <w:jc w:val="both"/>
        <w:rPr/>
      </w:pPr>
      <w:r>
        <w:rPr/>
        <w:t xml:space="preserve">realizácia servisných zásahov (riešenie incidentov) v prípade nefunkčnosti systému alebo jeho komponentov, </w:t>
      </w:r>
    </w:p>
    <w:p>
      <w:pPr>
        <w:pStyle w:val="ListParagraph"/>
        <w:numPr>
          <w:ilvl w:val="0"/>
          <w:numId w:val="2"/>
        </w:numPr>
        <w:ind w:start="426" w:hanging="360"/>
        <w:jc w:val="both"/>
        <w:rPr/>
      </w:pPr>
      <w:r>
        <w:rPr/>
        <w:t>realizácia servisných zásahov podľa požiadaviek (riešenie požiadaviek na zmenu konfigurácie),</w:t>
      </w:r>
    </w:p>
    <w:p>
      <w:pPr>
        <w:pStyle w:val="ListParagraph"/>
        <w:numPr>
          <w:ilvl w:val="0"/>
          <w:numId w:val="2"/>
        </w:numPr>
        <w:ind w:start="426" w:hanging="360"/>
        <w:jc w:val="both"/>
        <w:rPr/>
      </w:pPr>
      <w:r>
        <w:rPr/>
        <w:t>ďalšie dodávky, činnosti a práce nevyhnutné pre zachovanie funkčnosti a prevádzkyschopnosti Systému</w:t>
      </w:r>
    </w:p>
    <w:p>
      <w:pPr>
        <w:pStyle w:val="Normal"/>
        <w:jc w:val="both"/>
        <w:rPr/>
      </w:pPr>
      <w:r>
        <w:rPr/>
        <w:t>Poskytovanie služieb bude zabezpečené počas 48 mesiacov od odovzdania diela do užívania. Pre nacenanie je potrebné stanoviť jednotkovú sadzbu pre zabezpečenie paušálnych služieb prevádzky. Štruktúra ceny je nasledovná:</w:t>
      </w:r>
    </w:p>
    <w:p>
      <w:pPr>
        <w:pStyle w:val="ListParagraph"/>
        <w:numPr>
          <w:ilvl w:val="1"/>
          <w:numId w:val="1"/>
        </w:numPr>
        <w:ind w:start="426" w:hanging="360"/>
        <w:rPr>
          <w:b/>
          <w:b/>
          <w:bCs/>
          <w:i/>
          <w:i/>
          <w:iCs/>
        </w:rPr>
      </w:pPr>
      <w:r>
        <w:rPr/>
        <w:t>P.č.</w:t>
      </w:r>
    </w:p>
    <w:p>
      <w:pPr>
        <w:pStyle w:val="ListParagraph"/>
        <w:numPr>
          <w:ilvl w:val="1"/>
          <w:numId w:val="1"/>
        </w:numPr>
        <w:ind w:start="426" w:hanging="360"/>
        <w:rPr>
          <w:b/>
          <w:b/>
          <w:bCs/>
          <w:i/>
          <w:i/>
          <w:iCs/>
        </w:rPr>
      </w:pPr>
      <w:r>
        <w:rPr/>
        <w:t>ISVS</w:t>
      </w:r>
    </w:p>
    <w:p>
      <w:pPr>
        <w:pStyle w:val="ListParagraph"/>
        <w:numPr>
          <w:ilvl w:val="1"/>
          <w:numId w:val="1"/>
        </w:numPr>
        <w:ind w:start="426" w:hanging="360"/>
        <w:rPr>
          <w:b/>
          <w:b/>
          <w:bCs/>
          <w:i/>
          <w:i/>
          <w:iCs/>
        </w:rPr>
      </w:pPr>
      <w:r>
        <w:rPr/>
        <w:t>Položka</w:t>
      </w:r>
    </w:p>
    <w:p>
      <w:pPr>
        <w:pStyle w:val="ListParagraph"/>
        <w:numPr>
          <w:ilvl w:val="1"/>
          <w:numId w:val="1"/>
        </w:numPr>
        <w:ind w:start="426" w:hanging="360"/>
        <w:rPr>
          <w:b/>
          <w:b/>
          <w:bCs/>
          <w:i/>
          <w:i/>
          <w:iCs/>
        </w:rPr>
      </w:pPr>
      <w:r>
        <w:rPr/>
        <w:t>Merná jednotka</w:t>
      </w:r>
    </w:p>
    <w:p>
      <w:pPr>
        <w:pStyle w:val="ListParagraph"/>
        <w:numPr>
          <w:ilvl w:val="1"/>
          <w:numId w:val="1"/>
        </w:numPr>
        <w:ind w:start="426" w:hanging="360"/>
        <w:rPr>
          <w:b/>
          <w:b/>
          <w:bCs/>
          <w:i/>
          <w:i/>
          <w:iCs/>
        </w:rPr>
      </w:pPr>
      <w:r>
        <w:rPr/>
        <w:t>Počet</w:t>
      </w:r>
    </w:p>
    <w:p>
      <w:pPr>
        <w:pStyle w:val="ListParagraph"/>
        <w:numPr>
          <w:ilvl w:val="1"/>
          <w:numId w:val="1"/>
        </w:numPr>
        <w:ind w:start="426" w:hanging="360"/>
        <w:rPr>
          <w:b/>
          <w:b/>
          <w:bCs/>
          <w:i/>
          <w:i/>
          <w:iCs/>
          <w:highlight w:val="yellow"/>
        </w:rPr>
      </w:pPr>
      <w:r>
        <w:rPr>
          <w:b/>
          <w:bCs/>
          <w:i/>
          <w:iCs/>
          <w:highlight w:val="yellow"/>
        </w:rPr>
        <w:t>Jednotková cena bez DPH (v EUR) – potrebné určiť</w:t>
      </w:r>
    </w:p>
    <w:p>
      <w:pPr>
        <w:pStyle w:val="ListParagraph"/>
        <w:numPr>
          <w:ilvl w:val="1"/>
          <w:numId w:val="1"/>
        </w:numPr>
        <w:ind w:start="426" w:hanging="360"/>
        <w:rPr/>
      </w:pPr>
      <w:r>
        <w:rPr/>
        <w:t>Spolu bez DPH (v EUR)</w:t>
      </w:r>
    </w:p>
    <w:p>
      <w:pPr>
        <w:pStyle w:val="ListParagraph"/>
        <w:numPr>
          <w:ilvl w:val="1"/>
          <w:numId w:val="1"/>
        </w:numPr>
        <w:ind w:start="426" w:hanging="360"/>
        <w:rPr/>
      </w:pPr>
      <w:r>
        <w:rPr/>
        <w:t>Spolu s DPH (v EUR)</w:t>
      </w:r>
    </w:p>
    <w:p>
      <w:pPr>
        <w:pStyle w:val="Normal"/>
        <w:rPr/>
      </w:pPr>
      <w:r>
        <w:rPr/>
        <w:t>Detailná štruktúra ceny pre definovanie hodnoty dodávky prác je v prílohe vo formáte excelu.</w:t>
      </w:r>
    </w:p>
    <w:p>
      <w:pPr>
        <w:pStyle w:val="Nadpis1"/>
        <w:rPr/>
      </w:pPr>
      <w:r>
        <w:rPr/>
      </w:r>
      <w:r>
        <w:br w:type="page"/>
      </w:r>
    </w:p>
    <w:p>
      <w:pPr>
        <w:pStyle w:val="Nadpis1"/>
        <w:rPr/>
      </w:pPr>
      <w:r>
        <w:rPr/>
        <w:t>Zabezpečenie Objednávkových služieb rozvoja diela</w:t>
      </w:r>
    </w:p>
    <w:p>
      <w:pPr>
        <w:pStyle w:val="Normal"/>
        <w:rPr/>
      </w:pPr>
      <w:r>
        <w:rPr/>
        <w:t>Služby rozvoja sa poskytovateľ zaväzuje realizovať na základe písomnej objednávky Objednávateľa a poskytnúť mu ich po potvrdení objednávky v dohodnutom čase a v súlade s podmienkami uvedenými v Servisnej zmluve služby vyplývajúce (ďalej len „Objednávkové služby“).  Dôvodom môžu byť najmä:</w:t>
      </w:r>
    </w:p>
    <w:p>
      <w:pPr>
        <w:pStyle w:val="ListParagraph"/>
        <w:numPr>
          <w:ilvl w:val="0"/>
          <w:numId w:val="2"/>
        </w:numPr>
        <w:ind w:start="426" w:hanging="360"/>
        <w:rPr/>
      </w:pPr>
      <w:r>
        <w:rPr/>
        <w:t xml:space="preserve">Zmeny vyplývajúce z legislatívnych zmien a zmien metodiky; </w:t>
      </w:r>
    </w:p>
    <w:p>
      <w:pPr>
        <w:pStyle w:val="ListParagraph"/>
        <w:numPr>
          <w:ilvl w:val="0"/>
          <w:numId w:val="2"/>
        </w:numPr>
        <w:ind w:start="426" w:hanging="360"/>
        <w:rPr/>
      </w:pPr>
      <w:r>
        <w:rPr/>
        <w:t xml:space="preserve">Zmeny vyplývajúce z medzinárodných záväzkov; </w:t>
      </w:r>
    </w:p>
    <w:p>
      <w:pPr>
        <w:pStyle w:val="ListParagraph"/>
        <w:numPr>
          <w:ilvl w:val="0"/>
          <w:numId w:val="2"/>
        </w:numPr>
        <w:ind w:start="426" w:hanging="360"/>
        <w:rPr/>
      </w:pPr>
      <w:r>
        <w:rPr/>
        <w:t xml:space="preserve">Zmeny vyplývajúce z integrácie v rámci slovenského egovernmentu; </w:t>
      </w:r>
    </w:p>
    <w:p>
      <w:pPr>
        <w:pStyle w:val="ListParagraph"/>
        <w:numPr>
          <w:ilvl w:val="0"/>
          <w:numId w:val="2"/>
        </w:numPr>
        <w:ind w:start="426" w:hanging="360"/>
        <w:rPr/>
      </w:pPr>
      <w:r>
        <w:rPr/>
        <w:t xml:space="preserve">Zmeny vyplývajúce zo zmien v infraštruktúre a technológiách Objednávateľa; </w:t>
      </w:r>
    </w:p>
    <w:p>
      <w:pPr>
        <w:pStyle w:val="ListParagraph"/>
        <w:numPr>
          <w:ilvl w:val="0"/>
          <w:numId w:val="2"/>
        </w:numPr>
        <w:ind w:start="426" w:hanging="360"/>
        <w:rPr/>
      </w:pPr>
      <w:r>
        <w:rPr/>
        <w:t xml:space="preserve">Ostatné užívateľské zmeny vyplývajúce z prevádzky, požiadaviek užívateľov za účelom optimalizácie spracovania, resp. výkonu; </w:t>
      </w:r>
    </w:p>
    <w:p>
      <w:pPr>
        <w:pStyle w:val="ListParagraph"/>
        <w:numPr>
          <w:ilvl w:val="0"/>
          <w:numId w:val="2"/>
        </w:numPr>
        <w:ind w:start="426" w:hanging="360"/>
        <w:rPr/>
      </w:pPr>
      <w:r>
        <w:rPr/>
        <w:t>Poskytovanie konzultácií a školení</w:t>
      </w:r>
    </w:p>
    <w:p>
      <w:pPr>
        <w:pStyle w:val="Normal"/>
        <w:rPr/>
      </w:pPr>
      <w:r>
        <w:rPr/>
        <w:t>Služby budú poskytované počas 48 mesiacov od odovzdania diela do užívania, pričom je potrebné stanoviť jednotkovú cenu bez DPH. Štruktúra ceny je nasledovná:</w:t>
      </w:r>
    </w:p>
    <w:p>
      <w:pPr>
        <w:pStyle w:val="ListParagraph"/>
        <w:numPr>
          <w:ilvl w:val="1"/>
          <w:numId w:val="1"/>
        </w:numPr>
        <w:ind w:start="426" w:hanging="360"/>
        <w:rPr>
          <w:b/>
          <w:b/>
          <w:bCs/>
          <w:i/>
          <w:i/>
          <w:iCs/>
        </w:rPr>
      </w:pPr>
      <w:r>
        <w:rPr/>
        <w:t>P.č.</w:t>
      </w:r>
    </w:p>
    <w:p>
      <w:pPr>
        <w:pStyle w:val="ListParagraph"/>
        <w:numPr>
          <w:ilvl w:val="1"/>
          <w:numId w:val="1"/>
        </w:numPr>
        <w:ind w:start="426" w:hanging="360"/>
        <w:rPr>
          <w:b/>
          <w:b/>
          <w:bCs/>
          <w:i/>
          <w:i/>
          <w:iCs/>
        </w:rPr>
      </w:pPr>
      <w:r>
        <w:rPr/>
        <w:t>ISVS</w:t>
      </w:r>
    </w:p>
    <w:p>
      <w:pPr>
        <w:pStyle w:val="ListParagraph"/>
        <w:numPr>
          <w:ilvl w:val="1"/>
          <w:numId w:val="1"/>
        </w:numPr>
        <w:ind w:start="426" w:hanging="360"/>
        <w:rPr>
          <w:b/>
          <w:b/>
          <w:bCs/>
          <w:i/>
          <w:i/>
          <w:iCs/>
        </w:rPr>
      </w:pPr>
      <w:r>
        <w:rPr/>
        <w:t>Položka</w:t>
      </w:r>
    </w:p>
    <w:p>
      <w:pPr>
        <w:pStyle w:val="ListParagraph"/>
        <w:numPr>
          <w:ilvl w:val="1"/>
          <w:numId w:val="1"/>
        </w:numPr>
        <w:ind w:start="426" w:hanging="360"/>
        <w:rPr>
          <w:b/>
          <w:b/>
          <w:bCs/>
          <w:i/>
          <w:i/>
          <w:iCs/>
        </w:rPr>
      </w:pPr>
      <w:r>
        <w:rPr/>
        <w:t>Merná jednotka</w:t>
      </w:r>
    </w:p>
    <w:p>
      <w:pPr>
        <w:pStyle w:val="ListParagraph"/>
        <w:numPr>
          <w:ilvl w:val="1"/>
          <w:numId w:val="1"/>
        </w:numPr>
        <w:ind w:start="426" w:hanging="360"/>
        <w:rPr>
          <w:b/>
          <w:b/>
          <w:bCs/>
          <w:i/>
          <w:i/>
          <w:iCs/>
        </w:rPr>
      </w:pPr>
      <w:r>
        <w:rPr/>
        <w:t>Počet</w:t>
      </w:r>
    </w:p>
    <w:p>
      <w:pPr>
        <w:pStyle w:val="ListParagraph"/>
        <w:numPr>
          <w:ilvl w:val="1"/>
          <w:numId w:val="1"/>
        </w:numPr>
        <w:ind w:start="426" w:hanging="360"/>
        <w:rPr>
          <w:b/>
          <w:b/>
          <w:bCs/>
          <w:i/>
          <w:i/>
          <w:iCs/>
          <w:highlight w:val="yellow"/>
        </w:rPr>
      </w:pPr>
      <w:r>
        <w:rPr>
          <w:b/>
          <w:bCs/>
          <w:i/>
          <w:iCs/>
          <w:highlight w:val="yellow"/>
        </w:rPr>
        <w:t>Jednotková cena bez DPH (v EUR) – potrebné určiť</w:t>
      </w:r>
    </w:p>
    <w:p>
      <w:pPr>
        <w:pStyle w:val="ListParagraph"/>
        <w:numPr>
          <w:ilvl w:val="1"/>
          <w:numId w:val="1"/>
        </w:numPr>
        <w:ind w:start="426" w:hanging="360"/>
        <w:rPr/>
      </w:pPr>
      <w:r>
        <w:rPr/>
        <w:t>Spolu bez DPH (v EUR)</w:t>
      </w:r>
    </w:p>
    <w:p>
      <w:pPr>
        <w:pStyle w:val="ListParagraph"/>
        <w:numPr>
          <w:ilvl w:val="1"/>
          <w:numId w:val="1"/>
        </w:numPr>
        <w:ind w:start="426" w:hanging="360"/>
        <w:rPr/>
      </w:pPr>
      <w:r>
        <w:rPr/>
        <w:t>Spolu s DPH (v EUR)</w:t>
      </w:r>
    </w:p>
    <w:p>
      <w:pPr>
        <w:pStyle w:val="Normal"/>
        <w:rPr/>
      </w:pPr>
      <w:r>
        <w:rPr/>
        <w:t xml:space="preserve">Detailná štruktúra ceny pre definovanie hodnoty dodávky prác je v prílohe vo formáte excelu. </w:t>
      </w:r>
      <w:r>
        <w:rPr>
          <w:highlight w:val="yellow"/>
        </w:rPr>
        <w:t>Uvedené hodnoty pre jednotlivé ISVS sú orientačné, pričom celkový počet MDs nesmie presiahnuť hodnotu 400 MDs</w:t>
      </w:r>
      <w:bookmarkStart w:id="0" w:name="_GoBack"/>
      <w:bookmarkEnd w:id="0"/>
    </w:p>
    <w:p>
      <w:pPr>
        <w:pStyle w:val="Nadpis1"/>
        <w:rPr/>
      </w:pPr>
      <w:r>
        <w:rPr/>
        <w:t xml:space="preserve">Celková cena </w:t>
      </w:r>
    </w:p>
    <w:p>
      <w:pPr>
        <w:pStyle w:val="Normal"/>
        <w:rPr/>
      </w:pPr>
      <w:r>
        <w:rPr/>
        <w:t>V nasledujúcej tabuľke je uvedená celková cena dodávky diela vrátane prevádzky a zabezpečenia rozvoja diela:</w:t>
      </w:r>
    </w:p>
    <w:tbl>
      <w:tblPr>
        <w:tblW w:w="5000" w:type="pct"/>
        <w:jc w:val="start"/>
        <w:tblInd w:w="7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1" w:noVBand="1" w:lastRow="0" w:firstColumn="1" w:lastColumn="0" w:noHBand="0" w:val="04a0"/>
      </w:tblPr>
      <w:tblGrid>
        <w:gridCol w:w="4845"/>
        <w:gridCol w:w="2090"/>
        <w:gridCol w:w="2091"/>
      </w:tblGrid>
      <w:tr>
        <w:trPr>
          <w:trHeight w:val="288" w:hRule="atLeast"/>
        </w:trPr>
        <w:tc>
          <w:tcPr>
            <w:tcW w:w="4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DEBF7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sk-SK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sk-SK"/>
              </w:rPr>
              <w:t>Položka</w:t>
            </w:r>
          </w:p>
        </w:tc>
        <w:tc>
          <w:tcPr>
            <w:tcW w:w="2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sk-SK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sk-SK"/>
              </w:rPr>
              <w:t>Hodnota bez DPH</w:t>
            </w:r>
          </w:p>
        </w:tc>
        <w:tc>
          <w:tcPr>
            <w:tcW w:w="2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DEBF7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sk-SK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sk-SK"/>
              </w:rPr>
              <w:t>Hodnota s DPH</w:t>
            </w:r>
          </w:p>
        </w:tc>
      </w:tr>
      <w:tr>
        <w:trPr>
          <w:trHeight w:val="588" w:hRule="atLeast"/>
        </w:trPr>
        <w:tc>
          <w:tcPr>
            <w:tcW w:w="4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sk-SK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sk-SK"/>
              </w:rPr>
              <w:t>Dodávka diela</w:t>
            </w:r>
          </w:p>
        </w:tc>
        <w:tc>
          <w:tcPr>
            <w:tcW w:w="2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Calibri Light" w:hAnsi="Calibri Light" w:eastAsia="Times New Roman" w:cs="Calibri Light"/>
                <w:color w:val="000000"/>
                <w:lang w:eastAsia="sk-SK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sk-SK"/>
              </w:rPr>
            </w:r>
          </w:p>
        </w:tc>
        <w:tc>
          <w:tcPr>
            <w:tcW w:w="2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Calibri Light" w:hAnsi="Calibri Light" w:eastAsia="Times New Roman" w:cs="Calibri Light"/>
                <w:color w:val="000000"/>
                <w:lang w:eastAsia="sk-SK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sk-SK"/>
              </w:rPr>
            </w:r>
          </w:p>
        </w:tc>
      </w:tr>
      <w:tr>
        <w:trPr>
          <w:trHeight w:val="588" w:hRule="atLeast"/>
        </w:trPr>
        <w:tc>
          <w:tcPr>
            <w:tcW w:w="4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sk-SK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sk-SK"/>
              </w:rPr>
              <w:t>Zabezpečenie Paušálnych služieb prevádzky</w:t>
            </w:r>
          </w:p>
        </w:tc>
        <w:tc>
          <w:tcPr>
            <w:tcW w:w="2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Calibri Light" w:hAnsi="Calibri Light" w:eastAsia="Times New Roman" w:cs="Calibri Light"/>
                <w:color w:val="000000"/>
                <w:lang w:eastAsia="sk-SK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sk-SK"/>
              </w:rPr>
            </w:r>
          </w:p>
        </w:tc>
        <w:tc>
          <w:tcPr>
            <w:tcW w:w="2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Calibri Light" w:hAnsi="Calibri Light" w:eastAsia="Times New Roman" w:cs="Calibri Light"/>
                <w:color w:val="000000"/>
                <w:lang w:eastAsia="sk-SK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sk-SK"/>
              </w:rPr>
            </w:r>
          </w:p>
        </w:tc>
      </w:tr>
      <w:tr>
        <w:trPr>
          <w:trHeight w:val="588" w:hRule="atLeast"/>
        </w:trPr>
        <w:tc>
          <w:tcPr>
            <w:tcW w:w="4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sk-SK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sk-SK"/>
              </w:rPr>
              <w:t>Zabezpečenie Objednávkových služieb rozvoja diela</w:t>
            </w:r>
          </w:p>
        </w:tc>
        <w:tc>
          <w:tcPr>
            <w:tcW w:w="2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Calibri Light" w:hAnsi="Calibri Light" w:eastAsia="Times New Roman" w:cs="Calibri Light"/>
                <w:color w:val="000000"/>
                <w:lang w:eastAsia="sk-SK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sk-SK"/>
              </w:rPr>
            </w:r>
          </w:p>
        </w:tc>
        <w:tc>
          <w:tcPr>
            <w:tcW w:w="2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Calibri Light" w:hAnsi="Calibri Light" w:eastAsia="Times New Roman" w:cs="Calibri Light"/>
                <w:color w:val="000000"/>
                <w:lang w:eastAsia="sk-SK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sk-SK"/>
              </w:rPr>
            </w:r>
          </w:p>
        </w:tc>
      </w:tr>
      <w:tr>
        <w:trPr>
          <w:trHeight w:val="588" w:hRule="atLeast"/>
        </w:trPr>
        <w:tc>
          <w:tcPr>
            <w:tcW w:w="4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sk-SK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sk-SK"/>
              </w:rPr>
              <w:t>SPOLU</w:t>
            </w:r>
          </w:p>
        </w:tc>
        <w:tc>
          <w:tcPr>
            <w:tcW w:w="2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Calibri Light" w:hAnsi="Calibri Light" w:eastAsia="Times New Roman" w:cs="Calibri Light"/>
                <w:color w:val="000000"/>
                <w:lang w:eastAsia="sk-SK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sk-SK"/>
              </w:rPr>
            </w:r>
          </w:p>
        </w:tc>
        <w:tc>
          <w:tcPr>
            <w:tcW w:w="2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Calibri Light" w:hAnsi="Calibri Light" w:eastAsia="Times New Roman" w:cs="Calibri Light"/>
                <w:color w:val="000000"/>
                <w:lang w:eastAsia="sk-SK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sk-SK"/>
              </w:rPr>
              <w:t>0,00 €</w:t>
            </w:r>
          </w:p>
        </w:tc>
      </w:tr>
    </w:tbl>
    <w:p>
      <w:pPr>
        <w:pStyle w:val="Nadpis1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01"/>
    <w:family w:val="swiss"/>
    <w:pitch w:val="default"/>
  </w:font>
  <w:font w:name="Calibri Light">
    <w:charset w:val="01"/>
    <w:family w:val="swiss"/>
    <w:pitch w:val="default"/>
  </w:font>
  <w:font w:name="Arial">
    <w:charset w:val="01"/>
    <w:family w:val="swiss"/>
    <w:pitch w:val="default"/>
  </w:font>
  <w:font w:name="Source Sans Pro">
    <w:charset w:val="01"/>
    <w:family w:val="swiss"/>
    <w:pitch w:val="default"/>
  </w:font>
  <w:font w:name="Calibri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"/>
      <w:lvlJc w:val="start"/>
      <w:pPr>
        <w:tabs>
          <w:tab w:val="num" w:pos="0"/>
        </w:tabs>
        <w:ind w:start="7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2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9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8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528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paragraph" w:styleId="Nadpis1">
    <w:name w:val="Heading 1"/>
    <w:basedOn w:val="Normal"/>
    <w:next w:val="Normal"/>
    <w:link w:val="Nadpis1Char"/>
    <w:uiPriority w:val="9"/>
    <w:qFormat/>
    <w:rsid w:val="001c02a6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dpis2">
    <w:name w:val="Heading 2"/>
    <w:basedOn w:val="Normal"/>
    <w:next w:val="Normal"/>
    <w:link w:val="Nadpis2Char"/>
    <w:uiPriority w:val="9"/>
    <w:unhideWhenUsed/>
    <w:qFormat/>
    <w:rsid w:val="001c02a6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uiPriority w:val="9"/>
    <w:qFormat/>
    <w:rsid w:val="001c02a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dpis2Char" w:customStyle="1">
    <w:name w:val="Nadpis 2 Char"/>
    <w:basedOn w:val="DefaultParagraphFont"/>
    <w:link w:val="Nadpis2"/>
    <w:uiPriority w:val="9"/>
    <w:qFormat/>
    <w:rsid w:val="001c02a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NzovChar" w:customStyle="1">
    <w:name w:val="Názov Char"/>
    <w:basedOn w:val="DefaultParagraphFont"/>
    <w:link w:val="Nzov"/>
    <w:uiPriority w:val="10"/>
    <w:qFormat/>
    <w:rsid w:val="001c02a6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Annotationreference">
    <w:name w:val="annotation reference"/>
    <w:basedOn w:val="DefaultParagraphFont"/>
    <w:qFormat/>
    <w:rsid w:val="00b572b6"/>
    <w:rPr>
      <w:sz w:val="16"/>
      <w:szCs w:val="16"/>
    </w:rPr>
  </w:style>
  <w:style w:type="character" w:styleId="TextkomentraChar" w:customStyle="1">
    <w:name w:val="Text komentára Char"/>
    <w:basedOn w:val="DefaultParagraphFont"/>
    <w:link w:val="Textkomentra"/>
    <w:qFormat/>
    <w:rsid w:val="00b572b6"/>
    <w:rPr>
      <w:rFonts w:ascii="Arial" w:hAnsi="Arial" w:eastAsia="Times New Roman" w:cs="Times New Roman"/>
      <w:sz w:val="20"/>
      <w:szCs w:val="20"/>
      <w:lang w:eastAsia="sk-SK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Source Sans Pro" w:hAnsi="Source Sans Pro" w:eastAsia="Microsoft YaHei" w:cs="Lucida Sans"/>
      <w:sz w:val="24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ascii="Source Sans Pro" w:hAnsi="Source Sans Pro" w:cs="Lucida Sans"/>
      <w:sz w:val="24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ascii="Source Sans Pro" w:hAnsi="Source Sans Pro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ource Sans Pro" w:hAnsi="Source Sans Pro" w:cs="Lucida Sans"/>
      <w:sz w:val="24"/>
    </w:rPr>
  </w:style>
  <w:style w:type="paragraph" w:styleId="ListParagraph">
    <w:name w:val="List Paragraph"/>
    <w:basedOn w:val="Normal"/>
    <w:uiPriority w:val="34"/>
    <w:qFormat/>
    <w:rsid w:val="001c02a6"/>
    <w:pPr>
      <w:spacing w:before="0" w:after="160"/>
      <w:ind w:start="720" w:hanging="0"/>
      <w:contextualSpacing/>
    </w:pPr>
    <w:rPr/>
  </w:style>
  <w:style w:type="paragraph" w:styleId="Nzov">
    <w:name w:val="Title"/>
    <w:basedOn w:val="Normal"/>
    <w:next w:val="Normal"/>
    <w:link w:val="NzovChar"/>
    <w:uiPriority w:val="10"/>
    <w:qFormat/>
    <w:rsid w:val="001c02a6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Annotationtext">
    <w:name w:val="annotation text"/>
    <w:basedOn w:val="Normal"/>
    <w:link w:val="TextkomentraChar"/>
    <w:qFormat/>
    <w:rsid w:val="00b572b6"/>
    <w:pPr>
      <w:spacing w:lineRule="auto" w:line="240" w:before="60" w:after="60"/>
    </w:pPr>
    <w:rPr>
      <w:rFonts w:ascii="Arial" w:hAnsi="Arial" w:eastAsia="Times New Roman" w:cs="Times New Roman"/>
      <w:sz w:val="20"/>
      <w:szCs w:val="20"/>
      <w:lang w:eastAsia="sk-SK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">
    <w:name w:val="Table Grid"/>
    <w:basedOn w:val="Normlnatabuka"/>
    <w:uiPriority w:val="39"/>
    <w:rsid w:val="00b572b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Normlnatabuka"/>
    <w:uiPriority w:val="40"/>
    <w:rsid w:val="00b572b6"/>
    <w:pPr>
      <w:spacing w:after="0" w:line="240" w:lineRule="auto"/>
    </w:p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lnatabuka"/>
    <w:uiPriority w:val="41"/>
    <w:rsid w:val="00b572b6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LibreOffice/7.0.4.2$Windows_X86_64 LibreOffice_project/dcf040e67528d9187c66b2379df5ea4407429775</Application>
  <AppVersion>15.0000</AppVersion>
  <Pages>3</Pages>
  <Words>666</Words>
  <Characters>3865</Characters>
  <CharactersWithSpaces>4414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2021-02-10T14:10:00Z</dcterms:created>
  <dc:creator>peter duris</dc:creator>
  <dc:description/>
  <dc:language>sk-SK</dc:language>
  <cp:lastModifiedBy>Rastislav Machel</cp:lastModifiedBy>
  <dcterms:modified xsi:type="dcterms:W3CDTF">2021-02-26T11:20:53Z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