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200"/>
        <w:jc w:val="right"/>
        <w:rPr>
          <w:rFonts w:ascii="Calibri" w:hAnsi="Calibri" w:asciiTheme="minorHAnsi" w:hAnsiTheme="minorHAnsi"/>
          <w:sz w:val="22"/>
          <w:szCs w:val="22"/>
        </w:rPr>
      </w:pPr>
      <w:r>
        <w:drawing>
          <wp:anchor behindDoc="1" distT="0" distB="0" distL="114300" distR="114300" simplePos="0" locked="0" layoutInCell="0" allowOverlap="1" relativeHeight="2">
            <wp:simplePos x="0" y="0"/>
            <wp:positionH relativeFrom="page">
              <wp:posOffset>179705</wp:posOffset>
            </wp:positionH>
            <wp:positionV relativeFrom="page">
              <wp:align>top</wp:align>
            </wp:positionV>
            <wp:extent cx="2555875" cy="1072515"/>
            <wp:effectExtent l="0" t="0" r="0" b="0"/>
            <wp:wrapTopAndBottom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hAnsiTheme="minorHAnsi"/>
          <w:i/>
          <w:sz w:val="22"/>
          <w:szCs w:val="22"/>
        </w:rPr>
        <w:t>Príloha č</w:t>
      </w:r>
      <w:r>
        <w:rPr>
          <w:rStyle w:val="Iadne"/>
          <w:rFonts w:cs="Calibri" w:ascii="Calibri" w:hAnsi="Calibri" w:asciiTheme="minorHAnsi" w:hAnsiTheme="minorHAnsi"/>
          <w:i/>
          <w:sz w:val="22"/>
          <w:szCs w:val="22"/>
        </w:rPr>
        <w:t xml:space="preserve">. 1 Výzvy na predkladanie ponúk  </w:t>
      </w:r>
      <w:bookmarkStart w:id="0" w:name="_GoBack"/>
      <w:bookmarkEnd w:id="0"/>
    </w:p>
    <w:p>
      <w:pPr>
        <w:pStyle w:val="Normal"/>
        <w:jc w:val="center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hAnsiTheme="minorHAnsi"/>
          <w:b/>
          <w:sz w:val="22"/>
          <w:szCs w:val="22"/>
        </w:rPr>
        <w:t>CENOVÝ NÁVRH UCHÁDZAČA</w:t>
      </w:r>
    </w:p>
    <w:p>
      <w:pPr>
        <w:pStyle w:val="Normal"/>
        <w:jc w:val="center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hAnsiTheme="minorHAnsi"/>
          <w:b/>
          <w:sz w:val="22"/>
          <w:szCs w:val="22"/>
        </w:rPr>
        <w:t xml:space="preserve">Prieskum trhu </w:t>
      </w:r>
    </w:p>
    <w:p>
      <w:pPr>
        <w:pStyle w:val="Normal"/>
        <w:jc w:val="center"/>
        <w:rPr>
          <w:rStyle w:val="Iadne"/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bCs w:val="false"/>
          <w:sz w:val="22"/>
          <w:szCs w:val="22"/>
        </w:rPr>
        <w:t xml:space="preserve">podľa § 6 v spojení  s §  117 </w:t>
      </w:r>
      <w:r>
        <w:rPr>
          <w:rFonts w:cs="Calibri" w:ascii="Calibri" w:hAnsi="Calibri" w:asciiTheme="minorHAnsi" w:hAnsiTheme="minorHAnsi"/>
          <w:sz w:val="22"/>
          <w:szCs w:val="22"/>
        </w:rPr>
        <w:t>zákona č. 343/2015 Z. z. o verejnom obstará</w:t>
      </w:r>
      <w:r>
        <w:rPr>
          <w:rFonts w:cs="Calibri" w:ascii="Calibri" w:hAnsi="Calibri" w:asciiTheme="minorHAnsi" w:hAnsiTheme="minorHAnsi"/>
          <w:sz w:val="22"/>
          <w:szCs w:val="22"/>
          <w:lang w:val="nl-NL"/>
        </w:rPr>
        <w:t>van</w:t>
      </w:r>
      <w:r>
        <w:rPr>
          <w:rFonts w:cs="Calibri" w:ascii="Calibri" w:hAnsi="Calibri" w:asciiTheme="minorHAnsi" w:hAnsiTheme="minorHAnsi"/>
          <w:sz w:val="22"/>
          <w:szCs w:val="22"/>
        </w:rPr>
        <w:t xml:space="preserve">í a o zmene a doplnení niektorých zákonov v znení neskorších predpisov (ďalej len ,,zákon o verejnom obstarávaní“) </w:t>
      </w:r>
    </w:p>
    <w:p>
      <w:pPr>
        <w:pStyle w:val="Normal"/>
        <w:spacing w:before="120" w:after="0"/>
        <w:jc w:val="both"/>
        <w:rPr>
          <w:rStyle w:val="Iadne"/>
          <w:rFonts w:ascii="Calibri" w:hAnsi="Calibri" w:eastAsia="Calibri" w:cs="Calibri" w:asciiTheme="minorHAnsi" w:hAnsiTheme="minorHAnsi"/>
          <w:b/>
          <w:b/>
          <w:bCs w:val="false"/>
          <w:caps/>
          <w:sz w:val="22"/>
          <w:szCs w:val="22"/>
        </w:rPr>
      </w:pPr>
      <w:r>
        <w:rPr>
          <w:rStyle w:val="Iadne"/>
          <w:rFonts w:eastAsia="Calibri" w:cs="Calibri" w:ascii="Calibri" w:hAnsi="Calibri" w:asciiTheme="minorHAnsi" w:hAnsiTheme="minorHAnsi"/>
          <w:b/>
          <w:bCs w:val="false"/>
          <w:caps/>
          <w:sz w:val="22"/>
          <w:szCs w:val="22"/>
        </w:rPr>
        <w:t xml:space="preserve">Verejný obstarávateľ: </w:t>
      </w:r>
    </w:p>
    <w:p>
      <w:pPr>
        <w:pStyle w:val="Normal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Názov organizácie: </w:t>
        <w:tab/>
        <w:tab/>
        <w:t>Ministerstvo kultúry Slovenskej republiky</w:t>
        <w:tab/>
        <w:t xml:space="preserve"> </w:t>
      </w:r>
    </w:p>
    <w:p>
      <w:pPr>
        <w:pStyle w:val="Normal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Sídlo organizácie:</w:t>
        <w:tab/>
        <w:t xml:space="preserve"> </w:t>
        <w:tab/>
        <w:t>Námestie SNP 33, 813 31 Bratislava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IČ</w:t>
      </w:r>
      <w:r>
        <w:rPr>
          <w:rFonts w:cs="Calibri" w:ascii="Calibri" w:hAnsi="Calibri" w:asciiTheme="minorHAnsi" w:hAnsiTheme="minorHAnsi"/>
          <w:sz w:val="22"/>
          <w:szCs w:val="22"/>
          <w:lang w:val="fr-FR"/>
        </w:rPr>
        <w:t xml:space="preserve">O : </w:t>
        <w:tab/>
        <w:tab/>
        <w:tab/>
        <w:tab/>
      </w:r>
      <w:r>
        <w:rPr>
          <w:rFonts w:cs="Calibri" w:ascii="Calibri" w:hAnsi="Calibri" w:asciiTheme="minorHAnsi" w:hAnsiTheme="minorHAnsi"/>
          <w:sz w:val="22"/>
          <w:szCs w:val="22"/>
        </w:rPr>
        <w:t>00165182</w:t>
      </w:r>
      <w:r>
        <w:rPr>
          <w:rFonts w:cs="Calibri" w:ascii="Calibri" w:hAnsi="Calibri" w:asciiTheme="minorHAnsi" w:hAnsiTheme="minorHAnsi"/>
          <w:sz w:val="22"/>
          <w:szCs w:val="22"/>
          <w:lang w:val="fr-FR"/>
        </w:rPr>
        <w:tab/>
        <w:tab/>
        <w:tab/>
      </w:r>
    </w:p>
    <w:p>
      <w:pPr>
        <w:pStyle w:val="Normal"/>
        <w:ind w:right="45" w:hanging="0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V zastúpení:</w:t>
        <w:tab/>
        <w:tab/>
        <w:tab/>
        <w:t xml:space="preserve">Mgr. Natália Milanová, ministerka </w:t>
      </w:r>
    </w:p>
    <w:p>
      <w:pPr>
        <w:pStyle w:val="Normal"/>
        <w:spacing w:before="120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NÁZOV ZÁKAZKY:</w:t>
      </w:r>
      <w:r>
        <w:rPr>
          <w:rFonts w:cs="Calibri" w:ascii="Calibri" w:hAnsi="Calibri" w:asciiTheme="minorHAnsi" w:hAnsiTheme="minorHAnsi"/>
          <w:i/>
          <w:sz w:val="22"/>
          <w:szCs w:val="22"/>
        </w:rPr>
        <w:tab/>
        <w:tab/>
      </w:r>
      <w:r>
        <w:rPr>
          <w:b/>
          <w:color w:val="0033CC"/>
        </w:rPr>
        <w:t>Poskytovanie strážnej služby v objektoch Ministerstva kultúry SR</w:t>
      </w:r>
    </w:p>
    <w:p>
      <w:pPr>
        <w:pStyle w:val="Normal"/>
        <w:spacing w:before="120" w:after="0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tbl>
      <w:tblPr>
        <w:tblW w:w="9327" w:type="dxa"/>
        <w:jc w:val="left"/>
        <w:tblInd w:w="-113" w:type="dxa"/>
        <w:tblLayout w:type="fixed"/>
        <w:tblCellMar>
          <w:top w:w="57" w:type="dxa"/>
          <w:left w:w="0" w:type="dxa"/>
          <w:bottom w:w="57" w:type="dxa"/>
          <w:right w:w="103" w:type="dxa"/>
        </w:tblCellMar>
        <w:tblLook w:firstRow="0" w:noVBand="0" w:lastRow="0" w:firstColumn="0" w:lastColumn="0" w:noHBand="0" w:val="0000"/>
      </w:tblPr>
      <w:tblGrid>
        <w:gridCol w:w="4082"/>
        <w:gridCol w:w="1559"/>
        <w:gridCol w:w="731"/>
        <w:gridCol w:w="971"/>
        <w:gridCol w:w="1983"/>
      </w:tblGrid>
      <w:tr>
        <w:trPr>
          <w:trHeight w:val="690" w:hRule="atLeast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Style w:val="Iadne"/>
                <w:rFonts w:eastAsia="Calibri" w:cs="Calibri" w:ascii="Calibri" w:hAnsi="Calibri" w:asciiTheme="minorHAnsi" w:hAnsiTheme="minorHAnsi"/>
                <w:bCs w:val="false"/>
                <w:i/>
                <w:caps/>
                <w:sz w:val="22"/>
                <w:szCs w:val="22"/>
              </w:rPr>
              <w:t>Uchádzač: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tcMar>
              <w:top w:w="0" w:type="dxa"/>
              <w:lef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Názov: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Sídlo: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IČO: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Zastúpený:</w:t>
            </w:r>
          </w:p>
        </w:tc>
      </w:tr>
      <w:tr>
        <w:trPr>
          <w:trHeight w:val="109" w:hRule="atLeast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PLÁTCA DPH</w:t>
            </w:r>
            <w:r>
              <w:rPr>
                <w:rStyle w:val="Ukotveniepoznmkypodiarou"/>
                <w:rFonts w:cs="Calibri" w:ascii="Calibri" w:hAnsi="Calibri" w:asciiTheme="minorHAnsi" w:hAnsiTheme="minorHAnsi"/>
                <w:i/>
                <w:sz w:val="22"/>
                <w:szCs w:val="22"/>
              </w:rPr>
              <w:footnoteReference w:id="2"/>
            </w: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: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60" w:after="60"/>
              <w:ind w:left="360" w:hanging="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ÁNO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left="360" w:hanging="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NIE</w:t>
            </w:r>
          </w:p>
        </w:tc>
      </w:tr>
      <w:tr>
        <w:trPr>
          <w:trHeight w:val="109" w:hRule="atLeast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VEĽKOSŤ PODNIKU</w:t>
            </w:r>
            <w:r>
              <w:rPr>
                <w:rStyle w:val="Ukotveniepoznmkypodiarou"/>
                <w:rFonts w:cs="Calibri" w:ascii="Calibri" w:hAnsi="Calibri" w:asciiTheme="minorHAnsi" w:hAnsiTheme="minorHAnsi"/>
                <w:i/>
                <w:sz w:val="22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60" w:after="60"/>
              <w:ind w:left="360" w:hanging="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malý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left="360" w:hanging="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stredný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left="360" w:hanging="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veľký</w:t>
            </w:r>
          </w:p>
        </w:tc>
      </w:tr>
    </w:tbl>
    <w:p>
      <w:pPr>
        <w:pStyle w:val="Normal"/>
        <w:spacing w:before="120" w:after="0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tbl>
      <w:tblPr>
        <w:tblStyle w:val="Mriekatabuky"/>
        <w:tblW w:w="95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"/>
        <w:gridCol w:w="1661"/>
        <w:gridCol w:w="1510"/>
        <w:gridCol w:w="1214"/>
        <w:gridCol w:w="1168"/>
        <w:gridCol w:w="1125"/>
        <w:gridCol w:w="1118"/>
        <w:gridCol w:w="1274"/>
      </w:tblGrid>
      <w:tr>
        <w:trPr/>
        <w:tc>
          <w:tcPr>
            <w:tcW w:w="43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sk-SK" w:bidi="ar-SA"/>
              </w:rPr>
              <w:t>P.č.</w:t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sk-SK" w:bidi="ar-SA"/>
              </w:rPr>
              <w:t>Kritérium na vyhodnotenie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lang w:val="sk-SK" w:bidi="ar-SA"/>
              </w:rPr>
              <w:t>Merná jednotka</w:t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lang w:val="sk-SK" w:bidi="ar-SA"/>
              </w:rPr>
              <w:t>Predpokladaný počet  merných jednotiek</w:t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40" w:leader="none"/>
              </w:tabs>
              <w:spacing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lang w:val="sk-SK" w:bidi="ar-SA"/>
              </w:rPr>
              <w:t xml:space="preserve">Cena v € bez DPH </w:t>
              <w:br/>
              <w:t>za mernú jednotku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lang w:val="sk-SK" w:bidi="ar-SA"/>
              </w:rPr>
              <w:t>Cena v € s DPH za mernú jednotku</w:t>
            </w:r>
          </w:p>
        </w:tc>
        <w:tc>
          <w:tcPr>
            <w:tcW w:w="11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lang w:val="sk-SK" w:bidi="ar-SA"/>
              </w:rPr>
              <w:t xml:space="preserve">Spolu cena </w:t>
              <w:br/>
              <w:t>v € bez DPH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lang w:val="sk-SK" w:bidi="ar-SA"/>
              </w:rPr>
              <w:t xml:space="preserve">Spolu cena </w:t>
              <w:br/>
              <w:t>v € s DPH</w:t>
            </w:r>
          </w:p>
        </w:tc>
      </w:tr>
      <w:tr>
        <w:trPr/>
        <w:tc>
          <w:tcPr>
            <w:tcW w:w="43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sk-SK" w:bidi="ar-SA"/>
              </w:rPr>
              <w:t>a</w:t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sk-SK" w:bidi="ar-SA"/>
              </w:rPr>
              <w:t>b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  <w:lang w:val="sk-SK" w:bidi="ar-SA"/>
              </w:rPr>
              <w:t>c</w:t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  <w:lang w:val="sk-SK" w:bidi="ar-SA"/>
              </w:rPr>
              <w:t>d</w:t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40" w:leader="none"/>
              </w:tabs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  <w:lang w:val="sk-SK" w:bidi="ar-SA"/>
              </w:rPr>
              <w:t>e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  <w:lang w:val="sk-SK" w:bidi="ar-SA"/>
              </w:rPr>
              <w:t>f</w:t>
            </w:r>
          </w:p>
        </w:tc>
        <w:tc>
          <w:tcPr>
            <w:tcW w:w="11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  <w:b/>
                <w:b/>
                <w:sz w:val="18"/>
                <w:szCs w:val="18"/>
              </w:rPr>
            </w:pPr>
            <w:r>
              <w:rPr>
                <w:rFonts w:cs="Arial"/>
                <w:b/>
                <w:kern w:val="0"/>
                <w:sz w:val="18"/>
                <w:szCs w:val="18"/>
                <w:lang w:val="sk-SK" w:bidi="ar-SA"/>
              </w:rPr>
              <w:t>(stl. d x stl. e)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18"/>
                <w:szCs w:val="18"/>
                <w:lang w:val="sk-SK" w:bidi="ar-SA"/>
              </w:rPr>
              <w:t>(stl. d x stl. e)</w:t>
            </w:r>
          </w:p>
        </w:tc>
      </w:tr>
      <w:tr>
        <w:trPr/>
        <w:tc>
          <w:tcPr>
            <w:tcW w:w="43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  <w:t>1</w:t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sk-SK" w:bidi="ar-SA"/>
              </w:rPr>
              <w:t>Najnižšia cena výkonu strážnej služby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sk-SK" w:bidi="ar-SA"/>
              </w:rPr>
              <w:t>osobohodina</w:t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sk-SK" w:bidi="ar-SA"/>
              </w:rPr>
              <w:t>31 896</w:t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</w:r>
          </w:p>
        </w:tc>
      </w:tr>
      <w:tr>
        <w:trPr/>
        <w:tc>
          <w:tcPr>
            <w:tcW w:w="43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  <w:t>2</w:t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sk-SK" w:bidi="ar-SA"/>
              </w:rPr>
              <w:t>Najnižšia cena za paušálne služby</w:t>
            </w:r>
          </w:p>
        </w:tc>
        <w:tc>
          <w:tcPr>
            <w:tcW w:w="151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sk-SK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sk-SK" w:bidi="ar-SA"/>
              </w:rPr>
              <w:t>mesiac</w:t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sk-SK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sk-SK" w:bidi="ar-SA"/>
              </w:rPr>
              <w:t>5</w:t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</w:r>
          </w:p>
        </w:tc>
      </w:tr>
      <w:tr>
        <w:trPr>
          <w:trHeight w:val="584" w:hRule="atLeast"/>
        </w:trPr>
        <w:tc>
          <w:tcPr>
            <w:tcW w:w="43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  <w:t>3</w:t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kern w:val="0"/>
                <w:sz w:val="24"/>
                <w:szCs w:val="24"/>
                <w:lang w:val="sk-SK" w:bidi="ar-SA"/>
              </w:rPr>
              <w:t>Cena spolu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  <w:t>x</w:t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sk-SK" w:bidi="ar-SA"/>
              </w:rPr>
            </w:pPr>
            <w:r>
              <w:rPr>
                <w:kern w:val="0"/>
                <w:lang w:val="sk-SK" w:bidi="ar-SA"/>
              </w:rPr>
              <w:t>x</w:t>
            </w:r>
          </w:p>
        </w:tc>
        <w:tc>
          <w:tcPr>
            <w:tcW w:w="1125" w:type="dxa"/>
            <w:tcBorders/>
            <w:shd w:color="auto" w:fill="8DB3E2" w:themeFill="text2" w:themeFillTint="66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yellow"/>
              </w:rPr>
            </w:pPr>
            <w:r>
              <w:rPr>
                <w:kern w:val="0"/>
                <w:highlight w:val="yellow"/>
                <w:lang w:val="sk-SK" w:bidi="ar-SA"/>
              </w:rPr>
            </w:r>
          </w:p>
        </w:tc>
        <w:tc>
          <w:tcPr>
            <w:tcW w:w="1118" w:type="dxa"/>
            <w:tcBorders/>
            <w:shd w:color="auto" w:fill="8DB3E2" w:themeFill="text2" w:themeFillTint="66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yellow"/>
              </w:rPr>
            </w:pPr>
            <w:r>
              <w:rPr>
                <w:kern w:val="0"/>
                <w:highlight w:val="yellow"/>
                <w:lang w:val="sk-SK" w:bidi="ar-SA"/>
              </w:rPr>
            </w:r>
          </w:p>
        </w:tc>
        <w:tc>
          <w:tcPr>
            <w:tcW w:w="1274" w:type="dxa"/>
            <w:tcBorders/>
            <w:shd w:color="auto" w:fill="8DB3E2" w:themeFill="text2" w:themeFillTint="66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yellow"/>
              </w:rPr>
            </w:pPr>
            <w:r>
              <w:rPr>
                <w:kern w:val="0"/>
                <w:highlight w:val="yellow"/>
                <w:lang w:val="sk-SK" w:bidi="ar-SA"/>
              </w:rPr>
            </w:r>
          </w:p>
        </w:tc>
      </w:tr>
    </w:tbl>
    <w:p>
      <w:pPr>
        <w:pStyle w:val="Normal"/>
        <w:spacing w:before="120" w:after="0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before="120" w:after="0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V ......................................... </w:t>
      </w:r>
    </w:p>
    <w:p>
      <w:pPr>
        <w:pStyle w:val="Normal"/>
        <w:widowControl w:val="false"/>
        <w:bidi w:val="0"/>
        <w:spacing w:lineRule="auto" w:line="240" w:before="120" w:after="0"/>
        <w:ind w:left="3402" w:right="0" w:hanging="0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...................................................................…</w:t>
        <w:br/>
        <w:t>(podpis osoby oprávnenej konať za uchádzača</w:t>
        <w:br/>
        <w:t>s uvedením mena, priezviska, titulu)</w:t>
      </w:r>
    </w:p>
    <w:sectPr>
      <w:headerReference w:type="default" r:id="rId3"/>
      <w:footnotePr>
        <w:numFmt w:val="decimal"/>
      </w:footnotePr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Source Sans Pro">
    <w:charset w:val="01"/>
    <w:family w:val="swiss"/>
    <w:pitch w:val="default"/>
  </w:font>
  <w:font w:name="Tahoma">
    <w:charset w:val="01"/>
    <w:family w:val="swiss"/>
    <w:pitch w:val="default"/>
  </w:font>
  <w:font w:name="Fira Sans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iarou"/>
        <w:widowControl w:val="false"/>
        <w:rPr/>
      </w:pPr>
      <w:r>
        <w:rPr>
          <w:rStyle w:val="Znakyprepoznmkupodiarou"/>
        </w:rPr>
        <w:footnoteRef/>
      </w:r>
      <w:r>
        <w:rPr/>
        <w:tab/>
        <w:t xml:space="preserve"> </w:t>
      </w:r>
      <w:r>
        <w:rPr>
          <w:rFonts w:ascii="Fira Sans" w:hAnsi="Fira Sans"/>
          <w:sz w:val="18"/>
        </w:rPr>
        <w:t>nehodiace sa prečiarknuť</w:t>
      </w:r>
    </w:p>
  </w:footnote>
  <w:footnote w:id="3">
    <w:p>
      <w:pPr>
        <w:pStyle w:val="Poznmkapodiarou"/>
        <w:widowControl w:val="false"/>
        <w:rPr>
          <w:rFonts w:ascii="Fira Sans" w:hAnsi="Fira Sans"/>
          <w:sz w:val="18"/>
        </w:rPr>
      </w:pPr>
      <w:r>
        <w:rPr>
          <w:rStyle w:val="Znakyprepoznmkupodiarou"/>
        </w:rPr>
        <w:footnoteRef/>
      </w:r>
      <w:r>
        <w:rPr>
          <w:rFonts w:ascii="Fira Sans" w:hAnsi="Fira Sans"/>
          <w:sz w:val="18"/>
        </w:rPr>
        <w:tab/>
        <w:t xml:space="preserve"> nehodiace sa prečiarknuť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0af4"/>
    <w:pPr>
      <w:widowControl w:val="false"/>
      <w:bidi w:val="0"/>
      <w:spacing w:lineRule="auto" w:line="240" w:before="0" w:after="0"/>
      <w:jc w:val="left"/>
    </w:pPr>
    <w:rPr>
      <w:rFonts w:ascii="Source Sans Pro" w:hAnsi="Source Sans Pro" w:eastAsia="Times New Roman" w:cs="Times New Roman"/>
      <w:bCs/>
      <w:color w:val="auto"/>
      <w:kern w:val="0"/>
      <w:sz w:val="20"/>
      <w:szCs w:val="20"/>
      <w:lang w:eastAsia="sk-SK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iepoznmkypodiarou" w:customStyle="1">
    <w:name w:val="Ukotvenie poznámky pod čiarou"/>
    <w:rsid w:val="00dc0af4"/>
    <w:rPr>
      <w:vertAlign w:val="superscript"/>
    </w:rPr>
  </w:style>
  <w:style w:type="character" w:styleId="Iadne" w:customStyle="1">
    <w:name w:val="Žiadne"/>
    <w:qFormat/>
    <w:rsid w:val="00dc0af4"/>
    <w:rPr/>
  </w:style>
  <w:style w:type="character" w:styleId="TextpoznmkypodiarouChar" w:customStyle="1">
    <w:name w:val="Text poznámky pod čiarou Char"/>
    <w:basedOn w:val="DefaultParagraphFont"/>
    <w:link w:val="Textpoznmkypodiarou"/>
    <w:qFormat/>
    <w:rsid w:val="00dc0af4"/>
    <w:rPr>
      <w:rFonts w:ascii="Source Sans Pro" w:hAnsi="Source Sans Pro" w:eastAsia="Times New Roman" w:cs="Times New Roman"/>
      <w:bCs/>
      <w:sz w:val="20"/>
      <w:szCs w:val="20"/>
      <w:lang w:eastAsia="sk-SK"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9931c4"/>
    <w:rPr>
      <w:rFonts w:ascii="Source Sans Pro" w:hAnsi="Source Sans Pro" w:eastAsia="Times New Roman" w:cs="Times New Roman"/>
      <w:bCs/>
      <w:sz w:val="20"/>
      <w:szCs w:val="20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9931c4"/>
    <w:rPr>
      <w:rFonts w:ascii="Source Sans Pro" w:hAnsi="Source Sans Pro" w:eastAsia="Times New Roman" w:cs="Times New Roman"/>
      <w:bCs/>
      <w:sz w:val="20"/>
      <w:szCs w:val="20"/>
      <w:lang w:eastAsia="sk-SK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931c4"/>
    <w:rPr>
      <w:rFonts w:ascii="Tahoma" w:hAnsi="Tahoma" w:eastAsia="Times New Roman" w:cs="Tahoma"/>
      <w:bCs/>
      <w:sz w:val="16"/>
      <w:szCs w:val="16"/>
      <w:lang w:eastAsia="sk-SK"/>
    </w:rPr>
  </w:style>
  <w:style w:type="character" w:styleId="Znakyprepoznmkupodiarou">
    <w:name w:val="Znaky pre poznámku pod čiarou"/>
    <w:qFormat/>
    <w:rPr/>
  </w:style>
  <w:style w:type="character" w:styleId="Ukotveniekoncovejpoznmky">
    <w:name w:val="Ukotvenie koncovej poznámky"/>
    <w:rPr>
      <w:vertAlign w:val="superscript"/>
    </w:rPr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Poznmkapodiarou">
    <w:name w:val="Footnote Text"/>
    <w:basedOn w:val="Normal"/>
    <w:link w:val="TextpoznmkypodiarouChar"/>
    <w:rsid w:val="00dc0af4"/>
    <w:pPr/>
    <w:rPr/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9931c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9931c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931c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dc0af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Pages>1</Pages>
  <Words>190</Words>
  <Characters>1063</Characters>
  <CharactersWithSpaces>1232</CharactersWithSpaces>
  <Paragraphs>54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2021-07-22T15:39:00Z</dcterms:created>
  <dc:creator>Petrovičová Jana</dc:creator>
  <dc:description/>
  <dc:language>sk-SK</dc:language>
  <cp:lastModifiedBy>Rastislav Machel</cp:lastModifiedBy>
  <dcterms:modified xsi:type="dcterms:W3CDTF">2021-07-22T21:30:16Z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