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9B8F1" w14:textId="7159193D" w:rsidR="0029591D" w:rsidRPr="00B00A93" w:rsidRDefault="0029591D" w:rsidP="00F855C5">
      <w:pPr>
        <w:pStyle w:val="Nadpis3"/>
        <w:numPr>
          <w:ilvl w:val="0"/>
          <w:numId w:val="0"/>
        </w:numPr>
        <w:ind w:left="720" w:hanging="720"/>
        <w:rPr>
          <w:lang w:val="sk-SK"/>
        </w:rPr>
      </w:pPr>
      <w:r w:rsidRPr="00B00A93">
        <w:rPr>
          <w:lang w:val="sk-SK"/>
        </w:rPr>
        <w:t>Limity oprávnených výdavkov</w:t>
      </w:r>
    </w:p>
    <w:p w14:paraId="21D8BDA2" w14:textId="77777777" w:rsidR="0029591D" w:rsidRPr="0029591D" w:rsidRDefault="0029591D" w:rsidP="00F855C5">
      <w:pPr>
        <w:pStyle w:val="Zoznamsodrkami2"/>
        <w:widowControl w:val="0"/>
        <w:numPr>
          <w:ilvl w:val="0"/>
          <w:numId w:val="0"/>
        </w:numPr>
        <w:spacing w:before="120" w:after="120"/>
        <w:contextualSpacing w:val="0"/>
        <w:jc w:val="both"/>
        <w:rPr>
          <w:rFonts w:cs="Arial"/>
          <w:szCs w:val="19"/>
        </w:rPr>
      </w:pPr>
      <w:r w:rsidRPr="0029591D">
        <w:rPr>
          <w:rFonts w:ascii="Arial" w:hAnsi="Arial" w:cs="Arial"/>
          <w:sz w:val="19"/>
          <w:szCs w:val="19"/>
          <w:lang w:eastAsia="en-US"/>
        </w:rPr>
        <w:t>Limity oprávnených výdavkov boli SO stanovené ako percentuálne aj ako finančné limity.</w:t>
      </w:r>
    </w:p>
    <w:p w14:paraId="12EFBFA7" w14:textId="77777777" w:rsidR="0029591D" w:rsidRDefault="0029591D" w:rsidP="00F855C5">
      <w:pPr>
        <w:rPr>
          <w:lang w:val="en-US"/>
        </w:rPr>
      </w:pPr>
    </w:p>
    <w:p w14:paraId="7335287F" w14:textId="022A26B6" w:rsidR="0029591D" w:rsidRPr="00B00A93" w:rsidRDefault="0029591D" w:rsidP="00F855C5">
      <w:pPr>
        <w:pStyle w:val="Nadpis3"/>
        <w:numPr>
          <w:ilvl w:val="0"/>
          <w:numId w:val="0"/>
        </w:numPr>
        <w:ind w:left="720" w:hanging="720"/>
        <w:rPr>
          <w:lang w:val="sk-SK"/>
        </w:rPr>
      </w:pPr>
      <w:r w:rsidRPr="00B00A93">
        <w:rPr>
          <w:b w:val="0"/>
          <w:iCs w:val="0"/>
          <w:lang w:val="sk-SK"/>
        </w:rPr>
        <w:t>Percentuálne limity</w:t>
      </w:r>
    </w:p>
    <w:p w14:paraId="595F78E3" w14:textId="706772CA" w:rsidR="0029591D" w:rsidRDefault="0029591D" w:rsidP="00F855C5">
      <w:pPr>
        <w:numPr>
          <w:ilvl w:val="0"/>
          <w:numId w:val="3"/>
        </w:numPr>
        <w:spacing w:after="110"/>
        <w:ind w:hanging="360"/>
        <w:jc w:val="both"/>
      </w:pPr>
      <w:r>
        <w:t>Maximálna výška oprávnených výdavkov na aktivitu A2 a B1</w:t>
      </w:r>
      <w:r w:rsidR="00F855C5">
        <w:t xml:space="preserve"> nesmie sumárne prekročiť 20% z </w:t>
      </w:r>
      <w:r>
        <w:t xml:space="preserve">celkových priamych výdavkov projektu. </w:t>
      </w:r>
    </w:p>
    <w:p w14:paraId="3EAD73E8" w14:textId="77777777" w:rsidR="0029591D" w:rsidRDefault="0029591D" w:rsidP="00F855C5">
      <w:pPr>
        <w:numPr>
          <w:ilvl w:val="0"/>
          <w:numId w:val="3"/>
        </w:numPr>
        <w:spacing w:after="112"/>
        <w:ind w:hanging="360"/>
        <w:jc w:val="both"/>
      </w:pPr>
      <w:r>
        <w:t xml:space="preserve">Maximálna výška oprávnených výdavkov na nákup stavieb (budov) a pozemkov nesmie sumárne prekročiť 10% z celkových priamych výdavkov projektu. </w:t>
      </w:r>
    </w:p>
    <w:p w14:paraId="1F446426" w14:textId="77777777" w:rsidR="0029591D" w:rsidRDefault="0029591D" w:rsidP="00F855C5">
      <w:pPr>
        <w:numPr>
          <w:ilvl w:val="0"/>
          <w:numId w:val="3"/>
        </w:numPr>
        <w:spacing w:after="112"/>
        <w:ind w:hanging="360"/>
        <w:jc w:val="both"/>
      </w:pPr>
      <w:r>
        <w:t xml:space="preserve">Oprávnené výdavky rezervy na nepredvídané výdavky súvisiace so stavebnými prácami nesmie presiahnuť 2,5 % celkových oprávnených výdavkov na stavebné práce. </w:t>
      </w:r>
    </w:p>
    <w:p w14:paraId="1DC2C99E" w14:textId="77777777" w:rsidR="0029591D" w:rsidRDefault="0029591D" w:rsidP="00F855C5">
      <w:pPr>
        <w:spacing w:after="98"/>
        <w:ind w:left="720"/>
      </w:pPr>
      <w:r>
        <w:t xml:space="preserve"> </w:t>
      </w:r>
    </w:p>
    <w:p w14:paraId="54BD74A2" w14:textId="77777777" w:rsidR="0029591D" w:rsidRPr="00B00A93" w:rsidRDefault="0029591D" w:rsidP="00F855C5">
      <w:pPr>
        <w:pStyle w:val="Nadpis3"/>
        <w:numPr>
          <w:ilvl w:val="0"/>
          <w:numId w:val="0"/>
        </w:numPr>
        <w:ind w:left="720" w:hanging="720"/>
        <w:rPr>
          <w:lang w:val="sk-SK"/>
        </w:rPr>
      </w:pPr>
      <w:r w:rsidRPr="00B00A93">
        <w:rPr>
          <w:lang w:val="sk-SK"/>
        </w:rPr>
        <w:t xml:space="preserve">Maximálna výška nepriamych výdavkov </w:t>
      </w:r>
    </w:p>
    <w:tbl>
      <w:tblPr>
        <w:tblStyle w:val="TableGrid"/>
        <w:tblW w:w="9217" w:type="dxa"/>
        <w:tblInd w:w="-8" w:type="dxa"/>
        <w:tblCellMar>
          <w:top w:w="44" w:type="dxa"/>
          <w:left w:w="68" w:type="dxa"/>
          <w:right w:w="21" w:type="dxa"/>
        </w:tblCellMar>
        <w:tblLook w:val="04A0" w:firstRow="1" w:lastRow="0" w:firstColumn="1" w:lastColumn="0" w:noHBand="0" w:noVBand="1"/>
      </w:tblPr>
      <w:tblGrid>
        <w:gridCol w:w="3551"/>
        <w:gridCol w:w="5666"/>
      </w:tblGrid>
      <w:tr w:rsidR="0029591D" w14:paraId="76D0F0EB" w14:textId="77777777" w:rsidTr="00F855C5">
        <w:trPr>
          <w:trHeight w:val="488"/>
        </w:trPr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14:paraId="03305A93" w14:textId="77777777" w:rsidR="0029591D" w:rsidRDefault="0029591D" w:rsidP="00F855C5">
            <w:r>
              <w:t xml:space="preserve">Maximálna výška celkových nepriamych výdavkov 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F6635" w14:textId="77777777" w:rsidR="0029591D" w:rsidRDefault="0029591D" w:rsidP="00F855C5">
            <w:pPr>
              <w:ind w:left="4"/>
            </w:pPr>
            <w:r>
              <w:t xml:space="preserve">maximálne 3 % z celkových priamych výdavkov rozpočtu projektu  </w:t>
            </w:r>
          </w:p>
        </w:tc>
      </w:tr>
    </w:tbl>
    <w:p w14:paraId="48B76D45" w14:textId="77777777" w:rsidR="0029591D" w:rsidRDefault="0029591D" w:rsidP="00F855C5">
      <w:pPr>
        <w:spacing w:after="91"/>
      </w:pPr>
      <w:r>
        <w:rPr>
          <w:rFonts w:ascii="Calibri" w:eastAsia="Calibri" w:hAnsi="Calibri" w:cs="Calibri"/>
          <w:b/>
          <w:sz w:val="28"/>
        </w:rPr>
        <w:t xml:space="preserve"> </w:t>
      </w:r>
    </w:p>
    <w:p w14:paraId="3FE7BA52" w14:textId="77777777" w:rsidR="0029591D" w:rsidRPr="00B00A93" w:rsidRDefault="0029591D" w:rsidP="00F855C5">
      <w:pPr>
        <w:pStyle w:val="Nadpis3"/>
        <w:numPr>
          <w:ilvl w:val="0"/>
          <w:numId w:val="0"/>
        </w:numPr>
        <w:ind w:left="720" w:hanging="720"/>
        <w:rPr>
          <w:lang w:val="sk-SK"/>
        </w:rPr>
      </w:pPr>
      <w:r w:rsidRPr="00B00A93">
        <w:rPr>
          <w:lang w:val="sk-SK"/>
        </w:rPr>
        <w:t xml:space="preserve">Limity pre stavebný dozor </w:t>
      </w:r>
    </w:p>
    <w:p w14:paraId="37E3B5DB" w14:textId="44DB52A2" w:rsidR="0029591D" w:rsidRDefault="0029591D" w:rsidP="00F855C5">
      <w:pPr>
        <w:ind w:left="-5"/>
        <w:jc w:val="both"/>
      </w:pPr>
      <w:r>
        <w:t xml:space="preserve">Výška výdavkov na stavebný dozor nesmie v závislosti do výšky oprávnených výdavkov na stavebné práce presiahnuť nasledovný limit </w:t>
      </w:r>
    </w:p>
    <w:p w14:paraId="35C452C6" w14:textId="77777777" w:rsidR="0029591D" w:rsidRDefault="0029591D" w:rsidP="00F855C5">
      <w:r>
        <w:t xml:space="preserve"> </w:t>
      </w:r>
    </w:p>
    <w:tbl>
      <w:tblPr>
        <w:tblStyle w:val="TableGrid"/>
        <w:tblW w:w="9272" w:type="dxa"/>
        <w:tblInd w:w="-68" w:type="dxa"/>
        <w:tblCellMar>
          <w:top w:w="49" w:type="dxa"/>
          <w:left w:w="115" w:type="dxa"/>
          <w:right w:w="18" w:type="dxa"/>
        </w:tblCellMar>
        <w:tblLook w:val="04A0" w:firstRow="1" w:lastRow="0" w:firstColumn="1" w:lastColumn="0" w:noHBand="0" w:noVBand="1"/>
      </w:tblPr>
      <w:tblGrid>
        <w:gridCol w:w="1032"/>
        <w:gridCol w:w="2925"/>
        <w:gridCol w:w="2927"/>
        <w:gridCol w:w="2388"/>
      </w:tblGrid>
      <w:tr w:rsidR="0029591D" w14:paraId="3E85D56F" w14:textId="77777777" w:rsidTr="00F855C5">
        <w:trPr>
          <w:trHeight w:val="293"/>
        </w:trPr>
        <w:tc>
          <w:tcPr>
            <w:tcW w:w="10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7A842F5" w14:textId="77777777" w:rsidR="0029591D" w:rsidRDefault="0029591D" w:rsidP="00F855C5">
            <w:pPr>
              <w:ind w:right="97"/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Pásmo </w:t>
            </w:r>
          </w:p>
        </w:tc>
        <w:tc>
          <w:tcPr>
            <w:tcW w:w="585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0FD1E440" w14:textId="31600F46" w:rsidR="0029591D" w:rsidRDefault="0029591D" w:rsidP="00F855C5">
            <w:pPr>
              <w:ind w:right="94"/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Oprávnené výdavky na stavebné práce (v EUR bez DPH) </w:t>
            </w:r>
          </w:p>
        </w:tc>
        <w:tc>
          <w:tcPr>
            <w:tcW w:w="238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022E1FC7" w14:textId="77777777" w:rsidR="0029591D" w:rsidRDefault="0029591D" w:rsidP="00F855C5">
            <w:pPr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Percentuálny limit (%) maximálne </w:t>
            </w:r>
          </w:p>
        </w:tc>
      </w:tr>
      <w:tr w:rsidR="0029591D" w14:paraId="3993D8E6" w14:textId="77777777" w:rsidTr="00F855C5">
        <w:trPr>
          <w:trHeight w:val="326"/>
        </w:trPr>
        <w:tc>
          <w:tcPr>
            <w:tcW w:w="10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F59C963" w14:textId="77777777" w:rsidR="0029591D" w:rsidRDefault="0029591D" w:rsidP="00F855C5"/>
        </w:tc>
        <w:tc>
          <w:tcPr>
            <w:tcW w:w="29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228F9F14" w14:textId="77777777" w:rsidR="0029591D" w:rsidRDefault="0029591D" w:rsidP="00F855C5">
            <w:pPr>
              <w:ind w:right="92"/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od 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14:paraId="7AD67A02" w14:textId="77777777" w:rsidR="0029591D" w:rsidRDefault="0029591D" w:rsidP="00F855C5">
            <w:pPr>
              <w:ind w:right="96"/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do </w:t>
            </w:r>
          </w:p>
        </w:tc>
        <w:tc>
          <w:tcPr>
            <w:tcW w:w="2388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14:paraId="1113A454" w14:textId="77777777" w:rsidR="0029591D" w:rsidRDefault="0029591D" w:rsidP="00F855C5"/>
        </w:tc>
      </w:tr>
      <w:tr w:rsidR="0029591D" w14:paraId="5607B0F2" w14:textId="77777777" w:rsidTr="00F855C5">
        <w:trPr>
          <w:trHeight w:val="312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7F4B3BD" w14:textId="77777777" w:rsidR="0029591D" w:rsidRDefault="0029591D" w:rsidP="00F855C5">
            <w:pPr>
              <w:ind w:right="99"/>
              <w:jc w:val="center"/>
            </w:pPr>
            <w:r>
              <w:t xml:space="preserve">1 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03EBE" w14:textId="77777777" w:rsidR="0029591D" w:rsidRDefault="0029591D" w:rsidP="00F855C5">
            <w:pPr>
              <w:ind w:right="49"/>
              <w:jc w:val="right"/>
            </w:pPr>
            <w:r>
              <w:t xml:space="preserve">0,00 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3B3D8" w14:textId="77777777" w:rsidR="0029591D" w:rsidRDefault="0029591D" w:rsidP="00F855C5">
            <w:pPr>
              <w:ind w:right="50"/>
              <w:jc w:val="right"/>
            </w:pPr>
            <w:r>
              <w:t xml:space="preserve">999 999,99 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C6767D8" w14:textId="77777777" w:rsidR="0029591D" w:rsidRDefault="0029591D" w:rsidP="00F855C5">
            <w:pPr>
              <w:ind w:right="52"/>
              <w:jc w:val="right"/>
            </w:pPr>
            <w:r>
              <w:t xml:space="preserve">2,20% </w:t>
            </w:r>
          </w:p>
        </w:tc>
      </w:tr>
      <w:tr w:rsidR="0029591D" w14:paraId="2E8A78A7" w14:textId="77777777" w:rsidTr="00F855C5">
        <w:trPr>
          <w:trHeight w:val="302"/>
        </w:trPr>
        <w:tc>
          <w:tcPr>
            <w:tcW w:w="10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01C07EA" w14:textId="77777777" w:rsidR="0029591D" w:rsidRDefault="0029591D" w:rsidP="00F855C5">
            <w:pPr>
              <w:ind w:right="99"/>
              <w:jc w:val="center"/>
            </w:pPr>
            <w:r>
              <w:t xml:space="preserve">2 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40DF" w14:textId="77777777" w:rsidR="0029591D" w:rsidRDefault="0029591D" w:rsidP="00F855C5">
            <w:pPr>
              <w:ind w:right="49"/>
              <w:jc w:val="right"/>
            </w:pPr>
            <w:r>
              <w:t xml:space="preserve">1 000 000,00 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D92F1" w14:textId="77777777" w:rsidR="0029591D" w:rsidRDefault="0029591D" w:rsidP="00F855C5">
            <w:pPr>
              <w:ind w:right="51"/>
              <w:jc w:val="right"/>
            </w:pPr>
            <w:r>
              <w:t xml:space="preserve">4 999 999,99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4AE6F1" w14:textId="77777777" w:rsidR="0029591D" w:rsidRDefault="0029591D" w:rsidP="00F855C5">
            <w:pPr>
              <w:ind w:right="52"/>
              <w:jc w:val="right"/>
            </w:pPr>
            <w:r>
              <w:t xml:space="preserve">1,20% </w:t>
            </w:r>
          </w:p>
        </w:tc>
      </w:tr>
      <w:tr w:rsidR="0029591D" w14:paraId="279E747D" w14:textId="77777777" w:rsidTr="00F855C5">
        <w:trPr>
          <w:trHeight w:val="305"/>
        </w:trPr>
        <w:tc>
          <w:tcPr>
            <w:tcW w:w="10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14374FD" w14:textId="77777777" w:rsidR="0029591D" w:rsidRDefault="0029591D" w:rsidP="00F855C5">
            <w:pPr>
              <w:ind w:right="99"/>
              <w:jc w:val="center"/>
            </w:pPr>
            <w:r>
              <w:t xml:space="preserve">3 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BCAFA" w14:textId="77777777" w:rsidR="0029591D" w:rsidRDefault="0029591D" w:rsidP="00F855C5">
            <w:pPr>
              <w:ind w:right="49"/>
              <w:jc w:val="right"/>
            </w:pPr>
            <w:r>
              <w:t xml:space="preserve">5 000 000,00 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B415" w14:textId="77777777" w:rsidR="0029591D" w:rsidRDefault="0029591D" w:rsidP="00F855C5">
            <w:pPr>
              <w:ind w:right="51"/>
              <w:jc w:val="right"/>
            </w:pPr>
            <w:r>
              <w:t xml:space="preserve">19 999 999,99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2C76C9C" w14:textId="77777777" w:rsidR="0029591D" w:rsidRDefault="0029591D" w:rsidP="00F855C5">
            <w:pPr>
              <w:ind w:right="52"/>
              <w:jc w:val="right"/>
            </w:pPr>
            <w:r>
              <w:t xml:space="preserve">0,80% </w:t>
            </w:r>
          </w:p>
        </w:tc>
      </w:tr>
      <w:tr w:rsidR="0029591D" w14:paraId="1758D1D0" w14:textId="77777777" w:rsidTr="00F855C5">
        <w:trPr>
          <w:trHeight w:val="324"/>
        </w:trPr>
        <w:tc>
          <w:tcPr>
            <w:tcW w:w="103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4E7B4C2" w14:textId="77777777" w:rsidR="0029591D" w:rsidRDefault="0029591D" w:rsidP="00F855C5">
            <w:pPr>
              <w:ind w:right="99"/>
              <w:jc w:val="center"/>
            </w:pPr>
            <w:r>
              <w:t xml:space="preserve">4 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80E25AE" w14:textId="77777777" w:rsidR="0029591D" w:rsidRDefault="0029591D" w:rsidP="00F855C5">
            <w:pPr>
              <w:ind w:right="50"/>
              <w:jc w:val="right"/>
            </w:pPr>
            <w:r>
              <w:t xml:space="preserve">20 000 000,00 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1C86EAF" w14:textId="77777777" w:rsidR="0029591D" w:rsidRDefault="0029591D" w:rsidP="00F855C5">
            <w:pPr>
              <w:ind w:right="49"/>
              <w:jc w:val="right"/>
            </w:pPr>
            <w:r>
              <w:t xml:space="preserve">a viac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14B0DAF" w14:textId="77777777" w:rsidR="0029591D" w:rsidRDefault="0029591D" w:rsidP="00F855C5">
            <w:pPr>
              <w:ind w:right="52"/>
              <w:jc w:val="right"/>
            </w:pPr>
            <w:r>
              <w:t xml:space="preserve">0,60% </w:t>
            </w:r>
          </w:p>
        </w:tc>
      </w:tr>
    </w:tbl>
    <w:p w14:paraId="4575C6DE" w14:textId="77777777" w:rsidR="0029591D" w:rsidRDefault="0029591D" w:rsidP="00F855C5">
      <w:pPr>
        <w:spacing w:after="158"/>
      </w:pPr>
      <w:r>
        <w:rPr>
          <w:rFonts w:ascii="Calibri" w:eastAsia="Calibri" w:hAnsi="Calibri" w:cs="Calibri"/>
          <w:b/>
        </w:rPr>
        <w:t xml:space="preserve"> </w:t>
      </w:r>
    </w:p>
    <w:p w14:paraId="525B163A" w14:textId="77777777" w:rsidR="0029591D" w:rsidRPr="00F855C5" w:rsidRDefault="0029591D" w:rsidP="00F855C5">
      <w:pPr>
        <w:pStyle w:val="Nadpis3"/>
        <w:numPr>
          <w:ilvl w:val="0"/>
          <w:numId w:val="0"/>
        </w:numPr>
        <w:ind w:left="720" w:hanging="720"/>
        <w:rPr>
          <w:b w:val="0"/>
          <w:iCs w:val="0"/>
          <w:lang w:val="sk-SK"/>
        </w:rPr>
      </w:pPr>
      <w:r w:rsidRPr="00F855C5">
        <w:rPr>
          <w:b w:val="0"/>
          <w:iCs w:val="0"/>
          <w:lang w:val="sk-SK"/>
        </w:rPr>
        <w:t xml:space="preserve">Finančné limity </w:t>
      </w:r>
    </w:p>
    <w:p w14:paraId="0B709846" w14:textId="77777777" w:rsidR="0029591D" w:rsidRPr="00B00A93" w:rsidRDefault="0029591D" w:rsidP="00F855C5">
      <w:pPr>
        <w:pStyle w:val="Nadpis3"/>
        <w:numPr>
          <w:ilvl w:val="0"/>
          <w:numId w:val="0"/>
        </w:numPr>
        <w:ind w:left="720" w:hanging="720"/>
        <w:rPr>
          <w:lang w:val="sk-SK"/>
        </w:rPr>
      </w:pPr>
      <w:r w:rsidRPr="00B00A93">
        <w:rPr>
          <w:lang w:val="sk-SK"/>
        </w:rPr>
        <w:t xml:space="preserve">Stravné </w:t>
      </w:r>
    </w:p>
    <w:tbl>
      <w:tblPr>
        <w:tblStyle w:val="TableGrid"/>
        <w:tblW w:w="9217" w:type="dxa"/>
        <w:tblInd w:w="-8" w:type="dxa"/>
        <w:tblCellMar>
          <w:top w:w="46" w:type="dxa"/>
          <w:left w:w="68" w:type="dxa"/>
          <w:right w:w="56" w:type="dxa"/>
        </w:tblCellMar>
        <w:tblLook w:val="04A0" w:firstRow="1" w:lastRow="0" w:firstColumn="1" w:lastColumn="0" w:noHBand="0" w:noVBand="1"/>
      </w:tblPr>
      <w:tblGrid>
        <w:gridCol w:w="2555"/>
        <w:gridCol w:w="6662"/>
      </w:tblGrid>
      <w:tr w:rsidR="0029591D" w14:paraId="627D29DE" w14:textId="77777777" w:rsidTr="00F855C5">
        <w:trPr>
          <w:trHeight w:val="455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14:paraId="798E69CD" w14:textId="77777777" w:rsidR="0029591D" w:rsidRDefault="0029591D" w:rsidP="00F855C5">
            <w:pPr>
              <w:spacing w:before="60" w:after="60"/>
            </w:pPr>
            <w:r>
              <w:t xml:space="preserve">Pracovná cesta v SR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DDC66" w14:textId="74843AC1" w:rsidR="0029591D" w:rsidRDefault="0029591D" w:rsidP="00F855C5">
            <w:pPr>
              <w:spacing w:before="60" w:after="60"/>
              <w:ind w:left="4"/>
            </w:pPr>
            <w:r>
              <w:t>Podľa aktuálne platného Opatrenia Minist</w:t>
            </w:r>
            <w:r w:rsidR="00F855C5">
              <w:t>erstva práce, sociálnych vecí a </w:t>
            </w:r>
            <w:r>
              <w:t xml:space="preserve">rodiny Slovenskej republiky o sumách stravného </w:t>
            </w:r>
          </w:p>
        </w:tc>
      </w:tr>
      <w:tr w:rsidR="0029591D" w14:paraId="1C513725" w14:textId="77777777" w:rsidTr="00F855C5">
        <w:trPr>
          <w:trHeight w:val="661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14:paraId="76BC0A4E" w14:textId="77777777" w:rsidR="0029591D" w:rsidRDefault="0029591D" w:rsidP="00F855C5">
            <w:pPr>
              <w:spacing w:before="60" w:after="60"/>
            </w:pPr>
            <w:r>
              <w:t xml:space="preserve">Pracovná cesta v zahraničí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3851" w14:textId="4A49027D" w:rsidR="0029591D" w:rsidRDefault="0029591D" w:rsidP="00F855C5">
            <w:pPr>
              <w:spacing w:before="60" w:after="60"/>
              <w:ind w:left="4" w:right="51"/>
            </w:pPr>
            <w:r>
              <w:t>Podľa aktuálne platného Opatrenia Ministerstva financií Slovenskej republiky, ktorým sa ustanovujú základné sadzby stravného v eurách alebo v</w:t>
            </w:r>
            <w:r w:rsidR="00F855C5">
              <w:t> </w:t>
            </w:r>
            <w:r>
              <w:t xml:space="preserve">cudzej mene pri  zahraničných pracovných cestách </w:t>
            </w:r>
          </w:p>
        </w:tc>
      </w:tr>
    </w:tbl>
    <w:p w14:paraId="72BD575C" w14:textId="77777777" w:rsidR="0029591D" w:rsidRDefault="0029591D" w:rsidP="00F855C5">
      <w:pPr>
        <w:spacing w:after="98"/>
      </w:pPr>
      <w:r>
        <w:t xml:space="preserve"> </w:t>
      </w:r>
    </w:p>
    <w:p w14:paraId="64CD6B37" w14:textId="104100DD" w:rsidR="0029591D" w:rsidRPr="00B00A93" w:rsidRDefault="0029591D" w:rsidP="00F855C5">
      <w:pPr>
        <w:pStyle w:val="Nadpis3"/>
        <w:numPr>
          <w:ilvl w:val="0"/>
          <w:numId w:val="0"/>
        </w:numPr>
        <w:ind w:left="-5"/>
        <w:rPr>
          <w:lang w:val="sk-SK"/>
        </w:rPr>
      </w:pPr>
      <w:r w:rsidRPr="00B00A93">
        <w:rPr>
          <w:lang w:val="sk-SK"/>
        </w:rPr>
        <w:t>Stravné pre zahraničných stážistov</w:t>
      </w:r>
    </w:p>
    <w:tbl>
      <w:tblPr>
        <w:tblStyle w:val="TableGrid"/>
        <w:tblW w:w="921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top w:w="44" w:type="dxa"/>
          <w:left w:w="68" w:type="dxa"/>
          <w:right w:w="20" w:type="dxa"/>
        </w:tblCellMar>
        <w:tblLook w:val="04A0" w:firstRow="1" w:lastRow="0" w:firstColumn="1" w:lastColumn="0" w:noHBand="0" w:noVBand="1"/>
      </w:tblPr>
      <w:tblGrid>
        <w:gridCol w:w="2555"/>
        <w:gridCol w:w="6662"/>
      </w:tblGrid>
      <w:tr w:rsidR="0029591D" w14:paraId="452F2E76" w14:textId="77777777" w:rsidTr="00F855C5">
        <w:trPr>
          <w:trHeight w:val="1279"/>
        </w:trPr>
        <w:tc>
          <w:tcPr>
            <w:tcW w:w="2555" w:type="dxa"/>
            <w:shd w:val="clear" w:color="auto" w:fill="B8CCE4"/>
            <w:vAlign w:val="center"/>
          </w:tcPr>
          <w:p w14:paraId="3797147E" w14:textId="77777777" w:rsidR="0029591D" w:rsidRDefault="0029591D" w:rsidP="00F855C5">
            <w:r>
              <w:t xml:space="preserve">Stravné </w:t>
            </w:r>
          </w:p>
        </w:tc>
        <w:tc>
          <w:tcPr>
            <w:tcW w:w="6662" w:type="dxa"/>
          </w:tcPr>
          <w:p w14:paraId="39F9F4C0" w14:textId="112065D6" w:rsidR="0029591D" w:rsidRDefault="0029591D" w:rsidP="00F855C5">
            <w:pPr>
              <w:widowControl w:val="0"/>
              <w:ind w:left="6" w:right="51"/>
              <w:jc w:val="both"/>
            </w:pPr>
            <w:r>
              <w:t>Zahraničnému zamestnancovi vyslanému do Slovenskej republiky patrí za každý kalendárny deň stravné v sume trojnásobku sumy stravného ustanoveného pre pracovné cesty na území Slovenskej republiky v časovom pásme nad 18 hodín. V prípade, že pracovná cesta osoby z partnerskej krajiny netrvá celý kalendárny deň, patrí tejto osobe  pomerná suma stravného v</w:t>
            </w:r>
            <w:r w:rsidR="00F855C5">
              <w:t> </w:t>
            </w:r>
            <w:r>
              <w:t xml:space="preserve">závislosti od dĺžky trvania pracovnej cesty v kalendárnom dni. </w:t>
            </w:r>
          </w:p>
        </w:tc>
      </w:tr>
    </w:tbl>
    <w:p w14:paraId="3E162DFF" w14:textId="77777777" w:rsidR="0029591D" w:rsidRDefault="0029591D" w:rsidP="00F855C5">
      <w:pPr>
        <w:spacing w:after="98"/>
      </w:pPr>
      <w:r>
        <w:t xml:space="preserve"> </w:t>
      </w:r>
    </w:p>
    <w:p w14:paraId="73EF7443" w14:textId="77777777" w:rsidR="0029591D" w:rsidRPr="00B00A93" w:rsidRDefault="0029591D" w:rsidP="00F855C5">
      <w:pPr>
        <w:pStyle w:val="Nadpis3"/>
        <w:numPr>
          <w:ilvl w:val="0"/>
          <w:numId w:val="0"/>
        </w:numPr>
        <w:ind w:left="-5"/>
        <w:rPr>
          <w:lang w:val="sk-SK"/>
        </w:rPr>
      </w:pPr>
      <w:r w:rsidRPr="00B00A93">
        <w:rPr>
          <w:lang w:val="sk-SK"/>
        </w:rPr>
        <w:lastRenderedPageBreak/>
        <w:t xml:space="preserve">Cestovné náhrady na ubytovanie mimo krajín EÚ </w:t>
      </w:r>
    </w:p>
    <w:tbl>
      <w:tblPr>
        <w:tblStyle w:val="TableGrid"/>
        <w:tblW w:w="9217" w:type="dxa"/>
        <w:tblInd w:w="-8" w:type="dxa"/>
        <w:tblCellMar>
          <w:top w:w="44" w:type="dxa"/>
          <w:left w:w="68" w:type="dxa"/>
          <w:right w:w="21" w:type="dxa"/>
        </w:tblCellMar>
        <w:tblLook w:val="04A0" w:firstRow="1" w:lastRow="0" w:firstColumn="1" w:lastColumn="0" w:noHBand="0" w:noVBand="1"/>
      </w:tblPr>
      <w:tblGrid>
        <w:gridCol w:w="3264"/>
        <w:gridCol w:w="5953"/>
      </w:tblGrid>
      <w:tr w:rsidR="0029591D" w14:paraId="26C277ED" w14:textId="77777777" w:rsidTr="00F855C5">
        <w:trPr>
          <w:trHeight w:val="545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14:paraId="444C2C5F" w14:textId="50DAB90C" w:rsidR="0029591D" w:rsidRDefault="0029591D" w:rsidP="00F855C5">
            <w:r>
              <w:t xml:space="preserve">Finančný limit cestovných náhrad za ubytovanie v krajinách mimo EÚ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F0012" w14:textId="77777777" w:rsidR="0029591D" w:rsidRDefault="0029591D" w:rsidP="00F855C5">
            <w:pPr>
              <w:ind w:right="45"/>
              <w:jc w:val="center"/>
            </w:pPr>
            <w:r>
              <w:t xml:space="preserve">maximálne 140,- EUR/noc  </w:t>
            </w:r>
          </w:p>
        </w:tc>
      </w:tr>
    </w:tbl>
    <w:p w14:paraId="0D7F7A38" w14:textId="77777777" w:rsidR="0029591D" w:rsidRDefault="0029591D" w:rsidP="00F855C5">
      <w:pPr>
        <w:spacing w:after="98"/>
      </w:pPr>
      <w:r>
        <w:t xml:space="preserve"> </w:t>
      </w:r>
    </w:p>
    <w:p w14:paraId="6E8075E1" w14:textId="77777777" w:rsidR="0029591D" w:rsidRPr="00B00A93" w:rsidRDefault="0029591D" w:rsidP="00F855C5">
      <w:pPr>
        <w:pStyle w:val="Nadpis3"/>
        <w:numPr>
          <w:ilvl w:val="0"/>
          <w:numId w:val="0"/>
        </w:numPr>
        <w:ind w:left="-5"/>
        <w:rPr>
          <w:lang w:val="sk-SK"/>
        </w:rPr>
      </w:pPr>
      <w:r w:rsidRPr="00B00A93">
        <w:rPr>
          <w:lang w:val="sk-SK"/>
        </w:rPr>
        <w:t xml:space="preserve">Cestovné náhrady na ubytovanie v rámci krajín EÚ </w:t>
      </w:r>
    </w:p>
    <w:tbl>
      <w:tblPr>
        <w:tblStyle w:val="TableGrid"/>
        <w:tblW w:w="9217" w:type="dxa"/>
        <w:tblInd w:w="-8" w:type="dxa"/>
        <w:tblCellMar>
          <w:top w:w="46" w:type="dxa"/>
          <w:left w:w="68" w:type="dxa"/>
          <w:right w:w="35" w:type="dxa"/>
        </w:tblCellMar>
        <w:tblLook w:val="04A0" w:firstRow="1" w:lastRow="0" w:firstColumn="1" w:lastColumn="0" w:noHBand="0" w:noVBand="1"/>
      </w:tblPr>
      <w:tblGrid>
        <w:gridCol w:w="2135"/>
        <w:gridCol w:w="2516"/>
        <w:gridCol w:w="2163"/>
        <w:gridCol w:w="2403"/>
      </w:tblGrid>
      <w:tr w:rsidR="0029591D" w14:paraId="7472AD37" w14:textId="77777777" w:rsidTr="00F855C5">
        <w:trPr>
          <w:trHeight w:val="314"/>
        </w:trPr>
        <w:tc>
          <w:tcPr>
            <w:tcW w:w="6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51373A24" w14:textId="77777777" w:rsidR="0029591D" w:rsidRDefault="0029591D" w:rsidP="00F855C5">
            <w:r>
              <w:rPr>
                <w:rFonts w:ascii="Calibri" w:eastAsia="Calibri" w:hAnsi="Calibri" w:cs="Calibri"/>
                <w:b/>
                <w:color w:val="FFFFFF"/>
              </w:rPr>
              <w:t>Finančné limity cestovných náhrad za ubytovanie v krajinách EÚ</w:t>
            </w:r>
            <w:r>
              <w:rPr>
                <w:rFonts w:ascii="Calibri" w:eastAsia="Calibri" w:hAnsi="Calibri" w:cs="Calibri"/>
                <w:b/>
                <w:color w:val="FFFFFF"/>
                <w:sz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4EBE453A" w14:textId="77777777" w:rsidR="0029591D" w:rsidRDefault="0029591D" w:rsidP="00F855C5">
            <w:pPr>
              <w:spacing w:after="160"/>
            </w:pPr>
          </w:p>
        </w:tc>
      </w:tr>
      <w:tr w:rsidR="0029591D" w14:paraId="3D2C8132" w14:textId="77777777" w:rsidTr="00F855C5">
        <w:trPr>
          <w:trHeight w:val="548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E6C0D71" w14:textId="77777777" w:rsidR="0029591D" w:rsidRDefault="0029591D" w:rsidP="00F855C5">
            <w:pPr>
              <w:ind w:right="35"/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Štát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424C88A2" w14:textId="77777777" w:rsidR="0029591D" w:rsidRDefault="0029591D" w:rsidP="00F855C5">
            <w:pPr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Maximálna sadzba v EUR/noc vrátane DPH 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0D228DF0" w14:textId="77777777" w:rsidR="0029591D" w:rsidRDefault="0029591D" w:rsidP="00F855C5">
            <w:pPr>
              <w:ind w:right="31"/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Štát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01ABF6ED" w14:textId="77777777" w:rsidR="0029591D" w:rsidRDefault="0029591D" w:rsidP="00F855C5">
            <w:pPr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Maximálna sadzba v EUR/noc vrátane DPH  </w:t>
            </w:r>
          </w:p>
        </w:tc>
      </w:tr>
      <w:tr w:rsidR="0029591D" w14:paraId="424179CB" w14:textId="77777777" w:rsidTr="00F855C5">
        <w:trPr>
          <w:trHeight w:val="278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6F651D40" w14:textId="77777777" w:rsidR="0029591D" w:rsidRDefault="0029591D" w:rsidP="00F855C5">
            <w:r>
              <w:t xml:space="preserve">Rakúsko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190A" w14:textId="77777777" w:rsidR="0029591D" w:rsidRDefault="0029591D" w:rsidP="00F855C5">
            <w:pPr>
              <w:ind w:right="34"/>
              <w:jc w:val="center"/>
            </w:pPr>
            <w:r>
              <w:t xml:space="preserve">130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0B6D409F" w14:textId="77777777" w:rsidR="0029591D" w:rsidRDefault="0029591D" w:rsidP="00F855C5">
            <w:pPr>
              <w:ind w:left="4"/>
            </w:pPr>
            <w:r>
              <w:t xml:space="preserve">Taliansko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4B8C6" w14:textId="77777777" w:rsidR="0029591D" w:rsidRDefault="0029591D" w:rsidP="00F855C5">
            <w:pPr>
              <w:ind w:right="30"/>
              <w:jc w:val="center"/>
            </w:pPr>
            <w:r>
              <w:t xml:space="preserve">135 </w:t>
            </w:r>
          </w:p>
        </w:tc>
      </w:tr>
      <w:tr w:rsidR="0029591D" w14:paraId="41A906E9" w14:textId="77777777" w:rsidTr="00F855C5">
        <w:trPr>
          <w:trHeight w:val="278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64EA2FF2" w14:textId="77777777" w:rsidR="0029591D" w:rsidRDefault="0029591D" w:rsidP="00F855C5">
            <w:r>
              <w:t xml:space="preserve">Belgicko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3088" w14:textId="77777777" w:rsidR="0029591D" w:rsidRDefault="0029591D" w:rsidP="00F855C5">
            <w:pPr>
              <w:ind w:right="34"/>
              <w:jc w:val="center"/>
            </w:pPr>
            <w:r>
              <w:t xml:space="preserve">140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77D88E2C" w14:textId="77777777" w:rsidR="0029591D" w:rsidRDefault="0029591D" w:rsidP="00F855C5">
            <w:pPr>
              <w:ind w:left="4"/>
            </w:pPr>
            <w:r>
              <w:t xml:space="preserve">Lotyšsko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313BD" w14:textId="77777777" w:rsidR="0029591D" w:rsidRDefault="0029591D" w:rsidP="00F855C5">
            <w:pPr>
              <w:ind w:right="30"/>
              <w:jc w:val="center"/>
            </w:pPr>
            <w:r>
              <w:t xml:space="preserve">145 </w:t>
            </w:r>
          </w:p>
        </w:tc>
      </w:tr>
      <w:tr w:rsidR="0029591D" w14:paraId="0F191A3A" w14:textId="77777777" w:rsidTr="00F855C5">
        <w:trPr>
          <w:trHeight w:val="278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0C7AFCE7" w14:textId="77777777" w:rsidR="0029591D" w:rsidRDefault="0029591D" w:rsidP="00F855C5">
            <w:r>
              <w:t xml:space="preserve">Bulharsko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4DEBE" w14:textId="77777777" w:rsidR="0029591D" w:rsidRDefault="0029591D" w:rsidP="00F855C5">
            <w:pPr>
              <w:ind w:right="34"/>
              <w:jc w:val="center"/>
            </w:pPr>
            <w:r>
              <w:t xml:space="preserve">169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1E21FB0A" w14:textId="77777777" w:rsidR="0029591D" w:rsidRDefault="0029591D" w:rsidP="00F855C5">
            <w:pPr>
              <w:ind w:left="4"/>
            </w:pPr>
            <w:r>
              <w:t xml:space="preserve">Litva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6436" w14:textId="77777777" w:rsidR="0029591D" w:rsidRDefault="0029591D" w:rsidP="00F855C5">
            <w:pPr>
              <w:ind w:right="30"/>
              <w:jc w:val="center"/>
            </w:pPr>
            <w:r>
              <w:t xml:space="preserve">115 </w:t>
            </w:r>
          </w:p>
        </w:tc>
      </w:tr>
      <w:tr w:rsidR="0029591D" w14:paraId="22CC614F" w14:textId="77777777" w:rsidTr="00F855C5">
        <w:trPr>
          <w:trHeight w:val="278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510FD5CC" w14:textId="77777777" w:rsidR="0029591D" w:rsidRDefault="0029591D" w:rsidP="00F855C5">
            <w:r>
              <w:t xml:space="preserve">Cyprus 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CBD3" w14:textId="77777777" w:rsidR="0029591D" w:rsidRDefault="0029591D" w:rsidP="00F855C5">
            <w:pPr>
              <w:ind w:right="34"/>
              <w:jc w:val="center"/>
            </w:pPr>
            <w:r>
              <w:t xml:space="preserve">145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2C5D39E4" w14:textId="77777777" w:rsidR="0029591D" w:rsidRDefault="0029591D" w:rsidP="00F855C5">
            <w:pPr>
              <w:ind w:left="4"/>
            </w:pPr>
            <w:r>
              <w:t xml:space="preserve">Luxembursko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2AA4F" w14:textId="77777777" w:rsidR="0029591D" w:rsidRDefault="0029591D" w:rsidP="00F855C5">
            <w:pPr>
              <w:ind w:right="30"/>
              <w:jc w:val="center"/>
            </w:pPr>
            <w:r>
              <w:t xml:space="preserve">145 </w:t>
            </w:r>
          </w:p>
        </w:tc>
      </w:tr>
      <w:tr w:rsidR="0029591D" w14:paraId="10AB3A49" w14:textId="77777777" w:rsidTr="00F855C5">
        <w:trPr>
          <w:trHeight w:val="280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15BDC78D" w14:textId="77777777" w:rsidR="0029591D" w:rsidRDefault="0029591D" w:rsidP="00F855C5">
            <w:r>
              <w:t xml:space="preserve">Česká republika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D3A60" w14:textId="77777777" w:rsidR="0029591D" w:rsidRDefault="0029591D" w:rsidP="00F855C5">
            <w:pPr>
              <w:ind w:right="34"/>
              <w:jc w:val="center"/>
            </w:pPr>
            <w:r>
              <w:t xml:space="preserve">155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26D539A9" w14:textId="77777777" w:rsidR="0029591D" w:rsidRDefault="0029591D" w:rsidP="00F855C5">
            <w:pPr>
              <w:ind w:left="4"/>
            </w:pPr>
            <w:r>
              <w:t xml:space="preserve">Malta 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1D87E" w14:textId="77777777" w:rsidR="0029591D" w:rsidRDefault="0029591D" w:rsidP="00F855C5">
            <w:pPr>
              <w:ind w:right="30"/>
              <w:jc w:val="center"/>
            </w:pPr>
            <w:r>
              <w:t xml:space="preserve">115 </w:t>
            </w:r>
          </w:p>
        </w:tc>
      </w:tr>
      <w:tr w:rsidR="0029591D" w14:paraId="23054C07" w14:textId="77777777" w:rsidTr="00F855C5">
        <w:trPr>
          <w:trHeight w:val="278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13E7B433" w14:textId="77777777" w:rsidR="0029591D" w:rsidRDefault="0029591D" w:rsidP="00F855C5">
            <w:r>
              <w:t xml:space="preserve">Dánsko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8CC6A" w14:textId="77777777" w:rsidR="0029591D" w:rsidRDefault="0029591D" w:rsidP="00F855C5">
            <w:pPr>
              <w:ind w:right="34"/>
              <w:jc w:val="center"/>
            </w:pPr>
            <w:r>
              <w:t xml:space="preserve">150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75C6C7B6" w14:textId="77777777" w:rsidR="0029591D" w:rsidRDefault="0029591D" w:rsidP="00F855C5">
            <w:pPr>
              <w:ind w:left="4"/>
            </w:pPr>
            <w:r>
              <w:t xml:space="preserve">Holandsko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7CB6" w14:textId="77777777" w:rsidR="0029591D" w:rsidRDefault="0029591D" w:rsidP="00F855C5">
            <w:pPr>
              <w:ind w:right="30"/>
              <w:jc w:val="center"/>
            </w:pPr>
            <w:r>
              <w:t xml:space="preserve">170 </w:t>
            </w:r>
          </w:p>
        </w:tc>
      </w:tr>
      <w:tr w:rsidR="0029591D" w14:paraId="35EB6EC7" w14:textId="77777777" w:rsidTr="00F855C5">
        <w:trPr>
          <w:trHeight w:val="280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1D427054" w14:textId="77777777" w:rsidR="0029591D" w:rsidRDefault="0029591D" w:rsidP="00F855C5">
            <w:r>
              <w:t xml:space="preserve">Estónsko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BFA72" w14:textId="77777777" w:rsidR="0029591D" w:rsidRDefault="0029591D" w:rsidP="00F855C5">
            <w:pPr>
              <w:ind w:right="34"/>
              <w:jc w:val="center"/>
            </w:pPr>
            <w:r>
              <w:t xml:space="preserve">110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4A23962B" w14:textId="77777777" w:rsidR="0029591D" w:rsidRDefault="0029591D" w:rsidP="00F855C5">
            <w:pPr>
              <w:ind w:left="4"/>
            </w:pPr>
            <w:r>
              <w:t xml:space="preserve">Poľsko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4D6A6" w14:textId="77777777" w:rsidR="0029591D" w:rsidRDefault="0029591D" w:rsidP="00F855C5">
            <w:pPr>
              <w:ind w:right="30"/>
              <w:jc w:val="center"/>
            </w:pPr>
            <w:r>
              <w:t xml:space="preserve">145 </w:t>
            </w:r>
          </w:p>
        </w:tc>
      </w:tr>
      <w:tr w:rsidR="0029591D" w14:paraId="68CCB01A" w14:textId="77777777" w:rsidTr="00F855C5">
        <w:trPr>
          <w:trHeight w:val="278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2405A548" w14:textId="77777777" w:rsidR="0029591D" w:rsidRDefault="0029591D" w:rsidP="00F855C5">
            <w:r>
              <w:t xml:space="preserve">Fínsko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7E98" w14:textId="77777777" w:rsidR="0029591D" w:rsidRDefault="0029591D" w:rsidP="00F855C5">
            <w:pPr>
              <w:ind w:right="34"/>
              <w:jc w:val="center"/>
            </w:pPr>
            <w:r>
              <w:t xml:space="preserve">140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7FDF52F9" w14:textId="77777777" w:rsidR="0029591D" w:rsidRDefault="0029591D" w:rsidP="00F855C5">
            <w:pPr>
              <w:ind w:left="4"/>
            </w:pPr>
            <w:r>
              <w:t xml:space="preserve">Portugalsko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1EC8" w14:textId="77777777" w:rsidR="0029591D" w:rsidRDefault="0029591D" w:rsidP="00F855C5">
            <w:pPr>
              <w:ind w:right="30"/>
              <w:jc w:val="center"/>
            </w:pPr>
            <w:r>
              <w:t xml:space="preserve">120 </w:t>
            </w:r>
          </w:p>
        </w:tc>
      </w:tr>
      <w:tr w:rsidR="0029591D" w14:paraId="32F4C10F" w14:textId="77777777" w:rsidTr="00F855C5">
        <w:trPr>
          <w:trHeight w:val="278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0F8CC04C" w14:textId="77777777" w:rsidR="0029591D" w:rsidRDefault="0029591D" w:rsidP="00F855C5">
            <w:r>
              <w:t xml:space="preserve">Francúzsko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D7D6" w14:textId="77777777" w:rsidR="0029591D" w:rsidRDefault="0029591D" w:rsidP="00F855C5">
            <w:pPr>
              <w:ind w:right="34"/>
              <w:jc w:val="center"/>
            </w:pPr>
            <w:r>
              <w:t xml:space="preserve">150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6599F75E" w14:textId="77777777" w:rsidR="0029591D" w:rsidRDefault="0029591D" w:rsidP="00F855C5">
            <w:pPr>
              <w:ind w:left="4"/>
            </w:pPr>
            <w:r>
              <w:t xml:space="preserve">Rumunsko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3CE0D" w14:textId="77777777" w:rsidR="0029591D" w:rsidRDefault="0029591D" w:rsidP="00F855C5">
            <w:pPr>
              <w:ind w:right="30"/>
              <w:jc w:val="center"/>
            </w:pPr>
            <w:r>
              <w:t xml:space="preserve">170 </w:t>
            </w:r>
          </w:p>
        </w:tc>
      </w:tr>
      <w:tr w:rsidR="0029591D" w14:paraId="59AC9363" w14:textId="77777777" w:rsidTr="00F855C5">
        <w:trPr>
          <w:trHeight w:val="278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729F2B59" w14:textId="77777777" w:rsidR="0029591D" w:rsidRDefault="0029591D" w:rsidP="00F855C5">
            <w:r>
              <w:t xml:space="preserve">Nemecko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ED96F" w14:textId="77777777" w:rsidR="0029591D" w:rsidRDefault="0029591D" w:rsidP="00F855C5">
            <w:pPr>
              <w:ind w:right="34"/>
              <w:jc w:val="center"/>
            </w:pPr>
            <w:r>
              <w:t xml:space="preserve">115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6EF86AF0" w14:textId="77777777" w:rsidR="0029591D" w:rsidRDefault="0029591D" w:rsidP="00F855C5">
            <w:pPr>
              <w:ind w:left="4"/>
            </w:pPr>
            <w:r>
              <w:rPr>
                <w:rFonts w:ascii="Calibri" w:eastAsia="Calibri" w:hAnsi="Calibri" w:cs="Calibri"/>
                <w:b/>
              </w:rPr>
              <w:t xml:space="preserve">Slovensko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5D71" w14:textId="77777777" w:rsidR="0029591D" w:rsidRDefault="0029591D" w:rsidP="00F855C5">
            <w:pPr>
              <w:ind w:right="30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125 </w:t>
            </w:r>
          </w:p>
        </w:tc>
      </w:tr>
      <w:tr w:rsidR="0029591D" w14:paraId="5237AF36" w14:textId="77777777" w:rsidTr="00F855C5">
        <w:trPr>
          <w:trHeight w:val="278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4C9F26EA" w14:textId="77777777" w:rsidR="0029591D" w:rsidRDefault="0029591D" w:rsidP="00F855C5">
            <w:r>
              <w:t xml:space="preserve">Grécko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B2B5" w14:textId="77777777" w:rsidR="0029591D" w:rsidRDefault="0029591D" w:rsidP="00F855C5">
            <w:pPr>
              <w:ind w:right="34"/>
              <w:jc w:val="center"/>
            </w:pPr>
            <w:r>
              <w:t xml:space="preserve">140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1968791C" w14:textId="77777777" w:rsidR="0029591D" w:rsidRDefault="0029591D" w:rsidP="00F855C5">
            <w:pPr>
              <w:ind w:left="4"/>
            </w:pPr>
            <w:r>
              <w:t xml:space="preserve">Slovinsko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AF938" w14:textId="77777777" w:rsidR="0029591D" w:rsidRDefault="0029591D" w:rsidP="00F855C5">
            <w:pPr>
              <w:ind w:right="30"/>
              <w:jc w:val="center"/>
            </w:pPr>
            <w:r>
              <w:t xml:space="preserve">110 </w:t>
            </w:r>
          </w:p>
        </w:tc>
      </w:tr>
      <w:tr w:rsidR="0029591D" w14:paraId="1E49817A" w14:textId="77777777" w:rsidTr="00F855C5">
        <w:trPr>
          <w:trHeight w:val="279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3D498A9A" w14:textId="77777777" w:rsidR="0029591D" w:rsidRDefault="0029591D" w:rsidP="00F855C5">
            <w:r>
              <w:t xml:space="preserve">Chorvátsko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70392" w14:textId="77777777" w:rsidR="0029591D" w:rsidRDefault="0029591D" w:rsidP="00F855C5">
            <w:pPr>
              <w:ind w:right="34"/>
              <w:jc w:val="center"/>
            </w:pPr>
            <w:r>
              <w:t xml:space="preserve">120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2A30D8C6" w14:textId="77777777" w:rsidR="0029591D" w:rsidRDefault="0029591D" w:rsidP="00F855C5">
            <w:pPr>
              <w:ind w:left="4"/>
            </w:pPr>
            <w:r>
              <w:t xml:space="preserve">Španielsko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8EA83" w14:textId="77777777" w:rsidR="0029591D" w:rsidRDefault="0029591D" w:rsidP="00F855C5">
            <w:pPr>
              <w:ind w:right="30"/>
              <w:jc w:val="center"/>
            </w:pPr>
            <w:r>
              <w:t xml:space="preserve">125 </w:t>
            </w:r>
          </w:p>
        </w:tc>
      </w:tr>
      <w:tr w:rsidR="0029591D" w14:paraId="53D7F8CA" w14:textId="77777777" w:rsidTr="00F855C5">
        <w:trPr>
          <w:trHeight w:val="278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04F8EFA7" w14:textId="77777777" w:rsidR="0029591D" w:rsidRDefault="0029591D" w:rsidP="00F855C5">
            <w:r>
              <w:t xml:space="preserve">Maďarsko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E9456" w14:textId="77777777" w:rsidR="0029591D" w:rsidRDefault="0029591D" w:rsidP="00F855C5">
            <w:pPr>
              <w:ind w:right="34"/>
              <w:jc w:val="center"/>
            </w:pPr>
            <w:r>
              <w:t xml:space="preserve">150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135D89B3" w14:textId="77777777" w:rsidR="0029591D" w:rsidRDefault="0029591D" w:rsidP="00F855C5">
            <w:pPr>
              <w:ind w:left="4"/>
            </w:pPr>
            <w:r>
              <w:t xml:space="preserve">Švédsko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656F" w14:textId="77777777" w:rsidR="0029591D" w:rsidRDefault="0029591D" w:rsidP="00F855C5">
            <w:pPr>
              <w:ind w:right="30"/>
              <w:jc w:val="center"/>
            </w:pPr>
            <w:r>
              <w:t xml:space="preserve">160 </w:t>
            </w:r>
          </w:p>
        </w:tc>
      </w:tr>
      <w:tr w:rsidR="0029591D" w14:paraId="6AFBED48" w14:textId="77777777" w:rsidTr="00F855C5">
        <w:trPr>
          <w:trHeight w:val="277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1F703055" w14:textId="77777777" w:rsidR="0029591D" w:rsidRDefault="0029591D" w:rsidP="00F855C5">
            <w:r>
              <w:t xml:space="preserve">Írsko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AE347" w14:textId="77777777" w:rsidR="0029591D" w:rsidRDefault="0029591D" w:rsidP="00F855C5">
            <w:pPr>
              <w:ind w:right="34"/>
              <w:jc w:val="center"/>
            </w:pPr>
            <w:r>
              <w:t xml:space="preserve">150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0CEDEFB1" w14:textId="77777777" w:rsidR="0029591D" w:rsidRDefault="0029591D" w:rsidP="00F855C5">
            <w:pPr>
              <w:ind w:left="4"/>
            </w:pPr>
            <w:r>
              <w:t xml:space="preserve">Veľká Británia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10510" w14:textId="77777777" w:rsidR="0029591D" w:rsidRDefault="0029591D" w:rsidP="00F855C5">
            <w:pPr>
              <w:ind w:right="30"/>
              <w:jc w:val="center"/>
            </w:pPr>
            <w:r>
              <w:t xml:space="preserve">175 </w:t>
            </w:r>
          </w:p>
        </w:tc>
      </w:tr>
    </w:tbl>
    <w:p w14:paraId="5DCAE561" w14:textId="77777777" w:rsidR="0029591D" w:rsidRDefault="0029591D" w:rsidP="00F855C5">
      <w:pPr>
        <w:spacing w:after="98"/>
      </w:pPr>
      <w:r>
        <w:t xml:space="preserve"> </w:t>
      </w:r>
    </w:p>
    <w:p w14:paraId="7160F7AB" w14:textId="77777777" w:rsidR="0029591D" w:rsidRPr="00B00A93" w:rsidRDefault="0029591D" w:rsidP="00F855C5">
      <w:pPr>
        <w:pStyle w:val="Nadpis3"/>
        <w:numPr>
          <w:ilvl w:val="0"/>
          <w:numId w:val="0"/>
        </w:numPr>
        <w:ind w:left="720" w:hanging="720"/>
        <w:rPr>
          <w:lang w:val="sk-SK"/>
        </w:rPr>
      </w:pPr>
      <w:r w:rsidRPr="00B00A93">
        <w:rPr>
          <w:lang w:val="sk-SK"/>
        </w:rPr>
        <w:t xml:space="preserve">Informovanie a komunikácia </w:t>
      </w:r>
    </w:p>
    <w:tbl>
      <w:tblPr>
        <w:tblStyle w:val="TableGrid"/>
        <w:tblW w:w="9271" w:type="dxa"/>
        <w:tblInd w:w="-67" w:type="dxa"/>
        <w:tblCellMar>
          <w:top w:w="48" w:type="dxa"/>
          <w:left w:w="67" w:type="dxa"/>
          <w:bottom w:w="10" w:type="dxa"/>
          <w:right w:w="61" w:type="dxa"/>
        </w:tblCellMar>
        <w:tblLook w:val="04A0" w:firstRow="1" w:lastRow="0" w:firstColumn="1" w:lastColumn="0" w:noHBand="0" w:noVBand="1"/>
      </w:tblPr>
      <w:tblGrid>
        <w:gridCol w:w="2052"/>
        <w:gridCol w:w="3828"/>
        <w:gridCol w:w="3391"/>
      </w:tblGrid>
      <w:tr w:rsidR="0029591D" w14:paraId="605EF514" w14:textId="77777777" w:rsidTr="00F855C5">
        <w:trPr>
          <w:trHeight w:val="552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/>
            <w:vAlign w:val="center"/>
          </w:tcPr>
          <w:p w14:paraId="300A5508" w14:textId="77777777" w:rsidR="0029591D" w:rsidRDefault="0029591D" w:rsidP="00F855C5">
            <w:r>
              <w:t xml:space="preserve">Oprávnený výdavok 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/>
          </w:tcPr>
          <w:p w14:paraId="176CDBC4" w14:textId="77777777" w:rsidR="0029591D" w:rsidRDefault="0029591D" w:rsidP="00F855C5">
            <w:pPr>
              <w:ind w:left="880" w:right="791"/>
              <w:jc w:val="center"/>
            </w:pPr>
            <w:r>
              <w:t xml:space="preserve">Oprávnené výdavky  (v EUR bez DPH) </w:t>
            </w:r>
          </w:p>
        </w:tc>
        <w:tc>
          <w:tcPr>
            <w:tcW w:w="3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/>
            <w:vAlign w:val="center"/>
          </w:tcPr>
          <w:p w14:paraId="4637A919" w14:textId="77777777" w:rsidR="0029591D" w:rsidRDefault="0029591D" w:rsidP="00F855C5">
            <w:pPr>
              <w:ind w:right="3"/>
              <w:jc w:val="center"/>
            </w:pPr>
            <w:r>
              <w:t xml:space="preserve">Poznámka </w:t>
            </w:r>
          </w:p>
        </w:tc>
      </w:tr>
      <w:tr w:rsidR="0029591D" w14:paraId="7B0B8187" w14:textId="77777777" w:rsidTr="00F855C5">
        <w:trPr>
          <w:trHeight w:val="317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CE7AB" w14:textId="77777777" w:rsidR="0029591D" w:rsidRDefault="0029591D" w:rsidP="00F855C5">
            <w:r>
              <w:t>Dočasný pútač</w:t>
            </w:r>
            <w:r>
              <w:rPr>
                <w:rFonts w:eastAsia="Arial" w:cs="Arial"/>
                <w:sz w:val="16"/>
                <w:vertAlign w:val="superscript"/>
              </w:rPr>
              <w:footnoteReference w:id="1"/>
            </w:r>
            <w:r>
              <w:t xml:space="preserve"> 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05812" w14:textId="77777777" w:rsidR="0029591D" w:rsidRDefault="0029591D" w:rsidP="00F855C5">
            <w:pPr>
              <w:ind w:right="7"/>
              <w:jc w:val="center"/>
            </w:pPr>
            <w:r>
              <w:t xml:space="preserve">max. 500,- EUR bez DPH / 1 pútač </w:t>
            </w:r>
          </w:p>
        </w:tc>
        <w:tc>
          <w:tcPr>
            <w:tcW w:w="33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B684AD4" w14:textId="763B1494" w:rsidR="0029591D" w:rsidRDefault="0029591D" w:rsidP="00F855C5">
            <w:pPr>
              <w:ind w:right="6"/>
              <w:jc w:val="center"/>
            </w:pPr>
            <w:r>
              <w:t>vrátane nákladov súvisiacich s</w:t>
            </w:r>
            <w:r w:rsidR="00F855C5">
              <w:t> </w:t>
            </w:r>
            <w:r>
              <w:t xml:space="preserve">obstarávaním (náklady na výrobu, prepravu, inštaláciu atď.) </w:t>
            </w:r>
          </w:p>
        </w:tc>
      </w:tr>
      <w:tr w:rsidR="0029591D" w14:paraId="705E9AB3" w14:textId="77777777" w:rsidTr="00F855C5">
        <w:trPr>
          <w:trHeight w:val="31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50212" w14:textId="77777777" w:rsidR="0029591D" w:rsidRDefault="0029591D" w:rsidP="00F855C5">
            <w:r>
              <w:t>Stála tabuľa</w:t>
            </w:r>
            <w:r>
              <w:rPr>
                <w:rFonts w:eastAsia="Arial" w:cs="Arial"/>
                <w:sz w:val="16"/>
                <w:vertAlign w:val="superscript"/>
              </w:rPr>
              <w:footnoteReference w:id="2"/>
            </w:r>
            <w:r>
              <w:t xml:space="preserve"> 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D20EA" w14:textId="77777777" w:rsidR="0029591D" w:rsidRDefault="0029591D" w:rsidP="00F855C5">
            <w:pPr>
              <w:ind w:right="10"/>
              <w:jc w:val="center"/>
            </w:pPr>
            <w:r>
              <w:t xml:space="preserve">max. 300,- EUR bez DPH / 1 tabuľa </w:t>
            </w:r>
          </w:p>
        </w:tc>
        <w:tc>
          <w:tcPr>
            <w:tcW w:w="339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0448993" w14:textId="77777777" w:rsidR="0029591D" w:rsidRDefault="0029591D" w:rsidP="00F855C5">
            <w:pPr>
              <w:spacing w:after="160"/>
            </w:pPr>
          </w:p>
        </w:tc>
      </w:tr>
      <w:tr w:rsidR="0029591D" w14:paraId="2C7E4A5D" w14:textId="77777777" w:rsidTr="00F855C5">
        <w:trPr>
          <w:trHeight w:val="31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1BE1C" w14:textId="77777777" w:rsidR="0029591D" w:rsidRDefault="0029591D" w:rsidP="00F855C5">
            <w:r>
              <w:t>Plagát</w:t>
            </w:r>
            <w:r>
              <w:rPr>
                <w:rFonts w:eastAsia="Arial" w:cs="Arial"/>
                <w:sz w:val="16"/>
                <w:vertAlign w:val="superscript"/>
              </w:rPr>
              <w:footnoteReference w:id="3"/>
            </w:r>
            <w:r>
              <w:t xml:space="preserve"> 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72664" w14:textId="77777777" w:rsidR="0029591D" w:rsidRDefault="0029591D" w:rsidP="00F855C5">
            <w:pPr>
              <w:ind w:right="8"/>
              <w:jc w:val="center"/>
            </w:pPr>
            <w:r>
              <w:t xml:space="preserve">max. 30,- EUR bez DPH / 1 plagát </w:t>
            </w:r>
          </w:p>
        </w:tc>
        <w:tc>
          <w:tcPr>
            <w:tcW w:w="33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8ABA8" w14:textId="77777777" w:rsidR="0029591D" w:rsidRDefault="0029591D" w:rsidP="00F855C5">
            <w:pPr>
              <w:spacing w:after="160"/>
            </w:pPr>
          </w:p>
        </w:tc>
      </w:tr>
    </w:tbl>
    <w:p w14:paraId="03F78EDB" w14:textId="77777777" w:rsidR="0029591D" w:rsidRDefault="0029591D" w:rsidP="00F855C5">
      <w:pPr>
        <w:spacing w:after="91"/>
      </w:pPr>
      <w:r>
        <w:rPr>
          <w:rFonts w:ascii="Calibri" w:eastAsia="Calibri" w:hAnsi="Calibri" w:cs="Calibri"/>
          <w:b/>
          <w:sz w:val="28"/>
        </w:rPr>
        <w:t xml:space="preserve"> </w:t>
      </w:r>
    </w:p>
    <w:p w14:paraId="4B301C75" w14:textId="0B9B2C73" w:rsidR="0029591D" w:rsidRPr="00B00A93" w:rsidRDefault="0029591D" w:rsidP="00F855C5">
      <w:pPr>
        <w:pStyle w:val="Nadpis3"/>
        <w:numPr>
          <w:ilvl w:val="0"/>
          <w:numId w:val="0"/>
        </w:numPr>
        <w:ind w:left="-5"/>
        <w:rPr>
          <w:lang w:val="sk-SK"/>
        </w:rPr>
      </w:pPr>
      <w:r w:rsidRPr="00B00A93">
        <w:rPr>
          <w:lang w:val="sk-SK"/>
        </w:rPr>
        <w:t xml:space="preserve">Limity na mzdové výdavky </w:t>
      </w:r>
    </w:p>
    <w:p w14:paraId="6A8047DC" w14:textId="224EBC48" w:rsidR="0029591D" w:rsidRDefault="0029591D" w:rsidP="00F855C5">
      <w:pPr>
        <w:ind w:left="-5"/>
        <w:jc w:val="both"/>
      </w:pPr>
      <w:r>
        <w:t xml:space="preserve">Osobné výdavky bezprostredne súvisiace s realizáciou aktivít projektu je možné v prípade IROP PO3 uplatniť len v rámci nasledovných pracovných pozícií: </w:t>
      </w:r>
      <w:bookmarkStart w:id="0" w:name="_GoBack"/>
      <w:bookmarkEnd w:id="0"/>
    </w:p>
    <w:tbl>
      <w:tblPr>
        <w:tblStyle w:val="TableGrid"/>
        <w:tblW w:w="9222" w:type="dxa"/>
        <w:tblInd w:w="-4" w:type="dxa"/>
        <w:tblCellMar>
          <w:top w:w="45" w:type="dxa"/>
          <w:left w:w="68" w:type="dxa"/>
          <w:right w:w="29" w:type="dxa"/>
        </w:tblCellMar>
        <w:tblLook w:val="04A0" w:firstRow="1" w:lastRow="0" w:firstColumn="1" w:lastColumn="0" w:noHBand="0" w:noVBand="1"/>
      </w:tblPr>
      <w:tblGrid>
        <w:gridCol w:w="2372"/>
        <w:gridCol w:w="1977"/>
        <w:gridCol w:w="1844"/>
        <w:gridCol w:w="1581"/>
        <w:gridCol w:w="1448"/>
      </w:tblGrid>
      <w:tr w:rsidR="0029591D" w14:paraId="02DCD81C" w14:textId="77777777" w:rsidTr="0029591D">
        <w:trPr>
          <w:trHeight w:val="1163"/>
        </w:trPr>
        <w:tc>
          <w:tcPr>
            <w:tcW w:w="2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651BEA1" w14:textId="77777777" w:rsidR="0029591D" w:rsidRDefault="0029591D" w:rsidP="00F855C5">
            <w:pPr>
              <w:ind w:left="115" w:right="155"/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lastRenderedPageBreak/>
              <w:t xml:space="preserve">Názov pozície z organizačnej štruktúry </w:t>
            </w:r>
          </w:p>
          <w:p w14:paraId="190AFC0F" w14:textId="77777777" w:rsidR="0029591D" w:rsidRDefault="0029591D" w:rsidP="00F855C5">
            <w:pPr>
              <w:ind w:left="9"/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 </w:t>
            </w:r>
          </w:p>
        </w:tc>
        <w:tc>
          <w:tcPr>
            <w:tcW w:w="1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5748F8F" w14:textId="77777777" w:rsidR="0029591D" w:rsidRDefault="0029591D" w:rsidP="00F855C5">
            <w:pPr>
              <w:ind w:left="4" w:hanging="4"/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Finančný limit pre odmenu (bez odvodov </w:t>
            </w:r>
          </w:p>
          <w:p w14:paraId="73B43F0E" w14:textId="77777777" w:rsidR="0029591D" w:rsidRDefault="0029591D" w:rsidP="00F855C5">
            <w:pPr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zamestnávateľa) na základe dohody </w:t>
            </w:r>
          </w:p>
          <w:p w14:paraId="64E401AE" w14:textId="77777777" w:rsidR="0029591D" w:rsidRDefault="0029591D" w:rsidP="00F855C5">
            <w:pPr>
              <w:ind w:left="82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o práci vykonávanej </w:t>
            </w:r>
          </w:p>
          <w:p w14:paraId="1A216B52" w14:textId="77777777" w:rsidR="0029591D" w:rsidRDefault="0029591D" w:rsidP="00F855C5">
            <w:pPr>
              <w:spacing w:after="81"/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>mimo pracovného pomeru</w:t>
            </w:r>
            <w:r>
              <w:rPr>
                <w:rFonts w:eastAsia="Arial" w:cs="Arial"/>
                <w:b/>
                <w:color w:val="FFFFFF"/>
                <w:sz w:val="16"/>
                <w:vertAlign w:val="superscript"/>
              </w:rPr>
              <w:footnoteReference w:id="4"/>
            </w:r>
            <w:r>
              <w:rPr>
                <w:rFonts w:ascii="Calibri" w:eastAsia="Calibri" w:hAnsi="Calibri" w:cs="Calibri"/>
                <w:b/>
                <w:color w:val="FFFFFF"/>
              </w:rPr>
              <w:t xml:space="preserve"> </w:t>
            </w:r>
          </w:p>
          <w:p w14:paraId="0F1EECFA" w14:textId="77777777" w:rsidR="0029591D" w:rsidRDefault="0029591D" w:rsidP="00F855C5">
            <w:pPr>
              <w:ind w:right="36"/>
              <w:jc w:val="center"/>
            </w:pPr>
            <w:r>
              <w:rPr>
                <w:color w:val="FFFFFF"/>
              </w:rPr>
              <w:t>(EUR/hodina)</w:t>
            </w:r>
            <w:r>
              <w:rPr>
                <w:color w:val="FFFFFF"/>
                <w:vertAlign w:val="superscript"/>
              </w:rPr>
              <w:footnoteReference w:id="5"/>
            </w:r>
            <w:r>
              <w:rPr>
                <w:rFonts w:ascii="Calibri" w:eastAsia="Calibri" w:hAnsi="Calibri" w:cs="Calibri"/>
                <w:b/>
                <w:color w:val="FFFFFF"/>
              </w:rPr>
              <w:t xml:space="preserve">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3075F189" w14:textId="77777777" w:rsidR="0029591D" w:rsidRDefault="0029591D" w:rsidP="00F855C5">
            <w:pPr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Finančný limit pre hrubú mzdu na </w:t>
            </w:r>
          </w:p>
          <w:p w14:paraId="37BFEFE2" w14:textId="77777777" w:rsidR="0029591D" w:rsidRDefault="0029591D" w:rsidP="00F855C5">
            <w:pPr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základe pracovného pomeru (bez </w:t>
            </w:r>
          </w:p>
          <w:p w14:paraId="59628625" w14:textId="77777777" w:rsidR="0029591D" w:rsidRDefault="0029591D" w:rsidP="00F855C5">
            <w:pPr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odvodov </w:t>
            </w:r>
          </w:p>
          <w:p w14:paraId="33C11980" w14:textId="77777777" w:rsidR="0029591D" w:rsidRDefault="0029591D" w:rsidP="00F855C5">
            <w:pPr>
              <w:ind w:right="40"/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zamestnávateľa) </w:t>
            </w:r>
          </w:p>
          <w:p w14:paraId="11FC1819" w14:textId="77777777" w:rsidR="0029591D" w:rsidRDefault="0029591D" w:rsidP="00F855C5">
            <w:pPr>
              <w:ind w:right="37"/>
              <w:jc w:val="center"/>
            </w:pPr>
            <w:r>
              <w:rPr>
                <w:color w:val="FFFFFF"/>
              </w:rPr>
              <w:t>(EUR/mesiac)</w:t>
            </w:r>
            <w:r>
              <w:rPr>
                <w:rFonts w:eastAsia="Arial" w:cs="Arial"/>
                <w:color w:val="FFFFFF"/>
                <w:sz w:val="16"/>
                <w:vertAlign w:val="superscript"/>
              </w:rPr>
              <w:footnoteReference w:id="6"/>
            </w:r>
            <w:r>
              <w:rPr>
                <w:color w:val="FFFFFF"/>
              </w:rPr>
              <w:t xml:space="preserve"> </w:t>
            </w:r>
          </w:p>
        </w:tc>
        <w:tc>
          <w:tcPr>
            <w:tcW w:w="3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0F352D55" w14:textId="77777777" w:rsidR="0029591D" w:rsidRDefault="0029591D" w:rsidP="00F855C5">
            <w:pPr>
              <w:spacing w:after="44"/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>Finančný limit pre odplatu za poskytované služby</w:t>
            </w:r>
            <w:r>
              <w:rPr>
                <w:rFonts w:eastAsia="Arial" w:cs="Arial"/>
                <w:b/>
                <w:color w:val="FFFFFF"/>
                <w:sz w:val="16"/>
                <w:vertAlign w:val="superscript"/>
              </w:rPr>
              <w:footnoteReference w:id="7"/>
            </w:r>
            <w:r>
              <w:rPr>
                <w:rFonts w:ascii="Calibri" w:eastAsia="Calibri" w:hAnsi="Calibri" w:cs="Calibri"/>
                <w:b/>
                <w:color w:val="FFFFFF"/>
              </w:rPr>
              <w:t xml:space="preserve"> </w:t>
            </w:r>
          </w:p>
          <w:p w14:paraId="0618DCD7" w14:textId="77777777" w:rsidR="0029591D" w:rsidRDefault="0029591D" w:rsidP="00F855C5">
            <w:pPr>
              <w:ind w:right="37"/>
              <w:jc w:val="center"/>
            </w:pPr>
            <w:r>
              <w:rPr>
                <w:color w:val="FFFFFF"/>
              </w:rPr>
              <w:t>(EUR/hodina)</w:t>
            </w:r>
            <w:r>
              <w:rPr>
                <w:rFonts w:eastAsia="Arial" w:cs="Arial"/>
                <w:color w:val="FFFFFF"/>
                <w:sz w:val="16"/>
                <w:vertAlign w:val="superscript"/>
              </w:rPr>
              <w:footnoteReference w:id="8"/>
            </w:r>
            <w:r>
              <w:rPr>
                <w:rFonts w:ascii="Calibri" w:eastAsia="Calibri" w:hAnsi="Calibri" w:cs="Calibri"/>
                <w:b/>
                <w:color w:val="FFFFFF"/>
              </w:rPr>
              <w:t xml:space="preserve"> </w:t>
            </w:r>
          </w:p>
        </w:tc>
      </w:tr>
      <w:tr w:rsidR="0029591D" w14:paraId="5433D8F9" w14:textId="77777777" w:rsidTr="00B00A93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5FE5" w14:textId="77777777" w:rsidR="0029591D" w:rsidRDefault="0029591D" w:rsidP="00F855C5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B719" w14:textId="77777777" w:rsidR="0029591D" w:rsidRDefault="0029591D" w:rsidP="00F855C5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2202" w14:textId="77777777" w:rsidR="0029591D" w:rsidRDefault="0029591D" w:rsidP="00F855C5">
            <w:pPr>
              <w:spacing w:after="160"/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38587E18" w14:textId="77777777" w:rsidR="0029591D" w:rsidRDefault="0029591D" w:rsidP="00F855C5">
            <w:pPr>
              <w:ind w:right="42"/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bez nároku na </w:t>
            </w:r>
          </w:p>
          <w:p w14:paraId="35EA309E" w14:textId="77777777" w:rsidR="0029591D" w:rsidRDefault="0029591D" w:rsidP="00F855C5">
            <w:pPr>
              <w:ind w:right="40"/>
              <w:jc w:val="center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vrátenie DPH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7457E554" w14:textId="77777777" w:rsidR="0029591D" w:rsidRDefault="0029591D" w:rsidP="00F855C5">
            <w:pPr>
              <w:ind w:left="90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s nárokom na </w:t>
            </w:r>
          </w:p>
          <w:p w14:paraId="6B05AFBD" w14:textId="77777777" w:rsidR="0029591D" w:rsidRDefault="0029591D" w:rsidP="00F855C5">
            <w:pPr>
              <w:ind w:left="107"/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vrátenie DPH </w:t>
            </w:r>
          </w:p>
        </w:tc>
      </w:tr>
      <w:tr w:rsidR="0029591D" w14:paraId="1C349D10" w14:textId="77777777" w:rsidTr="0029591D">
        <w:trPr>
          <w:trHeight w:val="324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6417B746" w14:textId="77777777" w:rsidR="0029591D" w:rsidRDefault="0029591D" w:rsidP="00F855C5">
            <w:r>
              <w:t xml:space="preserve">Koordinátor programov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EB11" w14:textId="77777777" w:rsidR="0029591D" w:rsidRDefault="0029591D" w:rsidP="00F855C5">
            <w:pPr>
              <w:ind w:right="38"/>
              <w:jc w:val="center"/>
            </w:pPr>
            <w:r>
              <w:t xml:space="preserve">12,57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E7EF" w14:textId="77777777" w:rsidR="0029591D" w:rsidRDefault="0029591D" w:rsidP="00F855C5">
            <w:pPr>
              <w:jc w:val="center"/>
            </w:pPr>
            <w:r>
              <w:t xml:space="preserve">2 175,30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A7FEF" w14:textId="77777777" w:rsidR="0029591D" w:rsidRDefault="0029591D" w:rsidP="00F855C5">
            <w:pPr>
              <w:ind w:right="43"/>
              <w:jc w:val="center"/>
            </w:pPr>
            <w:r>
              <w:t xml:space="preserve">20,40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D1F0" w14:textId="77777777" w:rsidR="0029591D" w:rsidRDefault="0029591D" w:rsidP="00F855C5">
            <w:pPr>
              <w:ind w:right="37"/>
              <w:jc w:val="center"/>
            </w:pPr>
            <w:r>
              <w:t xml:space="preserve">17,00 </w:t>
            </w:r>
          </w:p>
        </w:tc>
      </w:tr>
      <w:tr w:rsidR="0029591D" w14:paraId="35BC06A7" w14:textId="77777777" w:rsidTr="0029591D">
        <w:trPr>
          <w:trHeight w:val="278"/>
        </w:trPr>
        <w:tc>
          <w:tcPr>
            <w:tcW w:w="4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297A1D1F" w14:textId="77777777" w:rsidR="0029591D" w:rsidRDefault="0029591D" w:rsidP="00F855C5">
            <w:r>
              <w:rPr>
                <w:rFonts w:ascii="Calibri" w:eastAsia="Calibri" w:hAnsi="Calibri" w:cs="Calibri"/>
                <w:b/>
              </w:rPr>
              <w:t xml:space="preserve">Expert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4CBBEB7A" w14:textId="77777777" w:rsidR="0029591D" w:rsidRDefault="0029591D" w:rsidP="00F855C5">
            <w:pPr>
              <w:ind w:left="222"/>
            </w:pPr>
            <w: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60459085" w14:textId="77777777" w:rsidR="0029591D" w:rsidRDefault="0029591D" w:rsidP="00F855C5">
            <w:pPr>
              <w:ind w:left="222"/>
            </w:pPr>
            <w:r>
              <w:t xml:space="preserve">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67C6190D" w14:textId="77777777" w:rsidR="0029591D" w:rsidRDefault="0029591D" w:rsidP="00F855C5">
            <w:pPr>
              <w:ind w:left="222"/>
            </w:pPr>
            <w:r>
              <w:t xml:space="preserve"> </w:t>
            </w:r>
          </w:p>
        </w:tc>
      </w:tr>
      <w:tr w:rsidR="0029591D" w14:paraId="7F609BC3" w14:textId="77777777" w:rsidTr="0029591D">
        <w:trPr>
          <w:trHeight w:val="27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095802F9" w14:textId="77777777" w:rsidR="0029591D" w:rsidRDefault="0029591D" w:rsidP="00F855C5">
            <w:r>
              <w:t xml:space="preserve">Expert - odborník junior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6B6D1" w14:textId="77777777" w:rsidR="0029591D" w:rsidRDefault="0029591D" w:rsidP="00F855C5">
            <w:pPr>
              <w:ind w:right="38"/>
              <w:jc w:val="center"/>
            </w:pPr>
            <w:r>
              <w:t xml:space="preserve">14,79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37C8" w14:textId="77777777" w:rsidR="0029591D" w:rsidRDefault="0029591D" w:rsidP="00F855C5">
            <w:pPr>
              <w:jc w:val="center"/>
            </w:pPr>
            <w:r>
              <w:t xml:space="preserve">2 559,17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D4E9" w14:textId="77777777" w:rsidR="0029591D" w:rsidRDefault="0029591D" w:rsidP="00F855C5">
            <w:pPr>
              <w:ind w:right="43"/>
              <w:jc w:val="center"/>
            </w:pPr>
            <w:r>
              <w:t xml:space="preserve">24,00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CE601" w14:textId="77777777" w:rsidR="0029591D" w:rsidRDefault="0029591D" w:rsidP="00F855C5">
            <w:pPr>
              <w:ind w:right="37"/>
              <w:jc w:val="center"/>
            </w:pPr>
            <w:r>
              <w:t xml:space="preserve">20,00 </w:t>
            </w:r>
          </w:p>
        </w:tc>
      </w:tr>
      <w:tr w:rsidR="0029591D" w14:paraId="6D1BDEA6" w14:textId="77777777" w:rsidTr="0029591D">
        <w:trPr>
          <w:trHeight w:val="279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38447B28" w14:textId="77777777" w:rsidR="0029591D" w:rsidRDefault="0029591D" w:rsidP="00F855C5">
            <w:r>
              <w:t xml:space="preserve">Expert - odborník senior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75FD" w14:textId="77777777" w:rsidR="0029591D" w:rsidRDefault="0029591D" w:rsidP="00F855C5">
            <w:pPr>
              <w:ind w:right="38"/>
              <w:jc w:val="center"/>
            </w:pPr>
            <w:r>
              <w:t xml:space="preserve">17,75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C3730" w14:textId="77777777" w:rsidR="0029591D" w:rsidRDefault="0029591D" w:rsidP="00F855C5">
            <w:pPr>
              <w:jc w:val="center"/>
            </w:pPr>
            <w:r>
              <w:t xml:space="preserve">3 071,01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E02D4" w14:textId="77777777" w:rsidR="0029591D" w:rsidRDefault="0029591D" w:rsidP="00F855C5">
            <w:pPr>
              <w:ind w:right="43"/>
              <w:jc w:val="center"/>
            </w:pPr>
            <w:r>
              <w:t xml:space="preserve">28,80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696A" w14:textId="77777777" w:rsidR="0029591D" w:rsidRDefault="0029591D" w:rsidP="00F855C5">
            <w:pPr>
              <w:ind w:right="37"/>
              <w:jc w:val="center"/>
            </w:pPr>
            <w:r>
              <w:t xml:space="preserve">24,00 </w:t>
            </w:r>
          </w:p>
        </w:tc>
      </w:tr>
      <w:tr w:rsidR="0029591D" w14:paraId="14C4D6E6" w14:textId="77777777" w:rsidTr="0029591D">
        <w:trPr>
          <w:trHeight w:val="280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613969A8" w14:textId="77777777" w:rsidR="0029591D" w:rsidRDefault="0029591D" w:rsidP="00F855C5">
            <w:r>
              <w:t xml:space="preserve">Expert - expert 1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4CD6" w14:textId="77777777" w:rsidR="0029591D" w:rsidRDefault="0029591D" w:rsidP="00F855C5">
            <w:pPr>
              <w:ind w:right="38"/>
              <w:jc w:val="center"/>
            </w:pPr>
            <w:r>
              <w:t xml:space="preserve">30,00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BA2C8" w14:textId="77777777" w:rsidR="0029591D" w:rsidRDefault="0029591D" w:rsidP="00F855C5">
            <w:pPr>
              <w:ind w:right="40"/>
              <w:jc w:val="center"/>
            </w:pPr>
            <w:r>
              <w:t xml:space="preserve">N/A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0A202" w14:textId="77777777" w:rsidR="0029591D" w:rsidRDefault="0029591D" w:rsidP="00F855C5">
            <w:pPr>
              <w:ind w:right="43"/>
              <w:jc w:val="center"/>
            </w:pPr>
            <w:r>
              <w:t xml:space="preserve">48,00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3E7E9" w14:textId="77777777" w:rsidR="0029591D" w:rsidRDefault="0029591D" w:rsidP="00F855C5">
            <w:pPr>
              <w:ind w:right="37"/>
              <w:jc w:val="center"/>
            </w:pPr>
            <w:r>
              <w:t xml:space="preserve">40,00 </w:t>
            </w:r>
          </w:p>
        </w:tc>
      </w:tr>
      <w:tr w:rsidR="0029591D" w14:paraId="2A11FF82" w14:textId="77777777" w:rsidTr="0029591D">
        <w:trPr>
          <w:trHeight w:val="27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5E74F5C4" w14:textId="77777777" w:rsidR="0029591D" w:rsidRDefault="0029591D" w:rsidP="00F855C5">
            <w:r>
              <w:t xml:space="preserve">Expert - expert 2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5398" w14:textId="77777777" w:rsidR="0029591D" w:rsidRDefault="0029591D" w:rsidP="00F855C5">
            <w:pPr>
              <w:ind w:right="38"/>
              <w:jc w:val="center"/>
            </w:pPr>
            <w:r>
              <w:t xml:space="preserve">44,00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BD92" w14:textId="77777777" w:rsidR="0029591D" w:rsidRDefault="0029591D" w:rsidP="00F855C5">
            <w:pPr>
              <w:ind w:right="40"/>
              <w:jc w:val="center"/>
            </w:pPr>
            <w:r>
              <w:t xml:space="preserve">N/A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4B3B" w14:textId="77777777" w:rsidR="0029591D" w:rsidRDefault="0029591D" w:rsidP="00F855C5">
            <w:pPr>
              <w:ind w:right="43"/>
              <w:jc w:val="center"/>
            </w:pPr>
            <w:r>
              <w:t xml:space="preserve">72,00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7CAF6" w14:textId="77777777" w:rsidR="0029591D" w:rsidRDefault="0029591D" w:rsidP="00F855C5">
            <w:pPr>
              <w:ind w:right="37"/>
              <w:jc w:val="center"/>
            </w:pPr>
            <w:r>
              <w:t xml:space="preserve">60,00 </w:t>
            </w:r>
          </w:p>
        </w:tc>
      </w:tr>
      <w:tr w:rsidR="0029591D" w14:paraId="67CE1971" w14:textId="77777777" w:rsidTr="0029591D">
        <w:trPr>
          <w:trHeight w:val="27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0F83E44A" w14:textId="77777777" w:rsidR="0029591D" w:rsidRDefault="0029591D" w:rsidP="00F855C5">
            <w:r>
              <w:rPr>
                <w:rFonts w:ascii="Calibri" w:eastAsia="Calibri" w:hAnsi="Calibri" w:cs="Calibri"/>
                <w:b/>
              </w:rPr>
              <w:t xml:space="preserve">Expert – expert 3 </w:t>
            </w:r>
            <w:r>
              <w:t xml:space="preserve">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97FD" w14:textId="77777777" w:rsidR="0029591D" w:rsidRDefault="0029591D" w:rsidP="00F855C5">
            <w:pPr>
              <w:ind w:right="38"/>
              <w:jc w:val="center"/>
            </w:pPr>
            <w:r>
              <w:t xml:space="preserve">110,00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8AC17" w14:textId="77777777" w:rsidR="0029591D" w:rsidRDefault="0029591D" w:rsidP="00F855C5">
            <w:pPr>
              <w:ind w:right="40"/>
              <w:jc w:val="center"/>
            </w:pPr>
            <w:r>
              <w:t xml:space="preserve">N/A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A668" w14:textId="77777777" w:rsidR="0029591D" w:rsidRDefault="0029591D" w:rsidP="00F855C5">
            <w:pPr>
              <w:ind w:right="43"/>
              <w:jc w:val="center"/>
            </w:pPr>
            <w:r>
              <w:t xml:space="preserve">180,00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922A" w14:textId="77777777" w:rsidR="0029591D" w:rsidRDefault="0029591D" w:rsidP="00F855C5">
            <w:pPr>
              <w:ind w:right="37"/>
              <w:jc w:val="center"/>
            </w:pPr>
            <w:r>
              <w:t xml:space="preserve">150,00 </w:t>
            </w:r>
          </w:p>
        </w:tc>
      </w:tr>
      <w:tr w:rsidR="0029591D" w14:paraId="46CA050C" w14:textId="77777777" w:rsidTr="0029591D">
        <w:trPr>
          <w:trHeight w:val="280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68B2E920" w14:textId="77777777" w:rsidR="0029591D" w:rsidRDefault="0029591D" w:rsidP="00F855C5">
            <w:r>
              <w:rPr>
                <w:rFonts w:ascii="Calibri" w:eastAsia="Calibri" w:hAnsi="Calibri" w:cs="Calibri"/>
                <w:b/>
              </w:rPr>
              <w:t>Riaditeľ KC</w:t>
            </w:r>
            <w:r>
              <w:t xml:space="preserve">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721A" w14:textId="77777777" w:rsidR="0029591D" w:rsidRDefault="0029591D" w:rsidP="00F855C5">
            <w:pPr>
              <w:ind w:right="38"/>
              <w:jc w:val="center"/>
            </w:pPr>
            <w:r>
              <w:t xml:space="preserve">12,57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247D" w14:textId="77777777" w:rsidR="0029591D" w:rsidRDefault="0029591D" w:rsidP="00F855C5">
            <w:pPr>
              <w:jc w:val="center"/>
            </w:pPr>
            <w:r>
              <w:t xml:space="preserve">2 175,30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8AF78" w14:textId="77777777" w:rsidR="0029591D" w:rsidRDefault="0029591D" w:rsidP="00F855C5">
            <w:pPr>
              <w:ind w:right="42"/>
              <w:jc w:val="center"/>
            </w:pPr>
            <w:r>
              <w:t xml:space="preserve">20,40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06331" w14:textId="77777777" w:rsidR="0029591D" w:rsidRDefault="0029591D" w:rsidP="00F855C5">
            <w:pPr>
              <w:ind w:right="37"/>
              <w:jc w:val="center"/>
            </w:pPr>
            <w:r>
              <w:t xml:space="preserve">17,00 </w:t>
            </w:r>
          </w:p>
        </w:tc>
      </w:tr>
      <w:tr w:rsidR="0029591D" w14:paraId="372BFD54" w14:textId="77777777" w:rsidTr="0029591D">
        <w:trPr>
          <w:trHeight w:val="27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4F308AAE" w14:textId="77777777" w:rsidR="0029591D" w:rsidRDefault="0029591D" w:rsidP="00F855C5">
            <w:r>
              <w:t xml:space="preserve">Asistent riaditeľa KC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52695" w14:textId="77777777" w:rsidR="0029591D" w:rsidRDefault="0029591D" w:rsidP="00F855C5">
            <w:pPr>
              <w:ind w:right="36"/>
              <w:jc w:val="center"/>
            </w:pPr>
            <w:r>
              <w:t xml:space="preserve">6,05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5CEC9" w14:textId="77777777" w:rsidR="0029591D" w:rsidRDefault="0029591D" w:rsidP="00F855C5">
            <w:pPr>
              <w:jc w:val="center"/>
            </w:pPr>
            <w:r>
              <w:t xml:space="preserve">1 046,00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AD8BF" w14:textId="77777777" w:rsidR="0029591D" w:rsidRDefault="0029591D" w:rsidP="00F855C5">
            <w:pPr>
              <w:ind w:right="40"/>
              <w:jc w:val="center"/>
            </w:pPr>
            <w:r>
              <w:t xml:space="preserve">9,81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0E86" w14:textId="77777777" w:rsidR="0029591D" w:rsidRDefault="0029591D" w:rsidP="00F855C5">
            <w:pPr>
              <w:jc w:val="center"/>
            </w:pPr>
            <w:r>
              <w:t xml:space="preserve">8,17 </w:t>
            </w:r>
          </w:p>
        </w:tc>
      </w:tr>
      <w:tr w:rsidR="0029591D" w14:paraId="001C7A69" w14:textId="77777777" w:rsidTr="0029591D">
        <w:trPr>
          <w:trHeight w:val="27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2DA24068" w14:textId="77777777" w:rsidR="0029591D" w:rsidRDefault="0029591D" w:rsidP="00F855C5">
            <w:r>
              <w:t xml:space="preserve">Správca budovy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94CC" w14:textId="77777777" w:rsidR="0029591D" w:rsidRDefault="0029591D" w:rsidP="00F855C5">
            <w:pPr>
              <w:ind w:right="36"/>
              <w:jc w:val="center"/>
            </w:pPr>
            <w:r>
              <w:t xml:space="preserve">8,14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26BC" w14:textId="77777777" w:rsidR="0029591D" w:rsidRDefault="0029591D" w:rsidP="00F855C5">
            <w:pPr>
              <w:jc w:val="center"/>
            </w:pPr>
            <w:r>
              <w:t xml:space="preserve">1 407,54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BEDC" w14:textId="77777777" w:rsidR="0029591D" w:rsidRDefault="0029591D" w:rsidP="00F855C5">
            <w:pPr>
              <w:ind w:right="43"/>
              <w:jc w:val="center"/>
            </w:pPr>
            <w:r>
              <w:t xml:space="preserve">13,20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B91D" w14:textId="77777777" w:rsidR="0029591D" w:rsidRDefault="0029591D" w:rsidP="00F855C5">
            <w:pPr>
              <w:ind w:right="37"/>
              <w:jc w:val="center"/>
            </w:pPr>
            <w:r>
              <w:t xml:space="preserve">11,00 </w:t>
            </w:r>
          </w:p>
        </w:tc>
      </w:tr>
      <w:tr w:rsidR="0029591D" w14:paraId="57B5F16E" w14:textId="77777777" w:rsidTr="0029591D">
        <w:trPr>
          <w:trHeight w:val="27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5F90BEC5" w14:textId="77777777" w:rsidR="0029591D" w:rsidRDefault="0029591D" w:rsidP="00F855C5">
            <w:r>
              <w:t xml:space="preserve">Správca techniky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38759" w14:textId="77777777" w:rsidR="0029591D" w:rsidRDefault="0029591D" w:rsidP="00F855C5">
            <w:pPr>
              <w:ind w:right="36"/>
              <w:jc w:val="center"/>
            </w:pPr>
            <w:r>
              <w:t xml:space="preserve">8,14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C4C41" w14:textId="77777777" w:rsidR="0029591D" w:rsidRDefault="0029591D" w:rsidP="00F855C5">
            <w:pPr>
              <w:jc w:val="center"/>
            </w:pPr>
            <w:r>
              <w:t xml:space="preserve">1 407,54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3B2B" w14:textId="77777777" w:rsidR="0029591D" w:rsidRDefault="0029591D" w:rsidP="00F855C5">
            <w:pPr>
              <w:ind w:right="43"/>
              <w:jc w:val="center"/>
            </w:pPr>
            <w:r>
              <w:t xml:space="preserve">13,20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8CDA5" w14:textId="77777777" w:rsidR="0029591D" w:rsidRDefault="0029591D" w:rsidP="00F855C5">
            <w:pPr>
              <w:ind w:right="37"/>
              <w:jc w:val="center"/>
            </w:pPr>
            <w:r>
              <w:t xml:space="preserve">11,00 </w:t>
            </w:r>
          </w:p>
        </w:tc>
      </w:tr>
      <w:tr w:rsidR="0029591D" w14:paraId="2E548F25" w14:textId="77777777" w:rsidTr="0029591D">
        <w:trPr>
          <w:trHeight w:val="27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79FBF587" w14:textId="77777777" w:rsidR="0029591D" w:rsidRDefault="0029591D" w:rsidP="00F855C5">
            <w:r>
              <w:rPr>
                <w:rFonts w:ascii="Calibri" w:eastAsia="Calibri" w:hAnsi="Calibri" w:cs="Calibri"/>
                <w:b/>
              </w:rPr>
              <w:t>Programový riaditeľ</w:t>
            </w:r>
            <w:r>
              <w:t xml:space="preserve">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743D0" w14:textId="77777777" w:rsidR="0029591D" w:rsidRDefault="0029591D" w:rsidP="00F855C5">
            <w:pPr>
              <w:ind w:right="38"/>
              <w:jc w:val="center"/>
            </w:pPr>
            <w:r>
              <w:t xml:space="preserve">12,57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617E" w14:textId="77777777" w:rsidR="0029591D" w:rsidRDefault="0029591D" w:rsidP="00F855C5">
            <w:pPr>
              <w:jc w:val="center"/>
            </w:pPr>
            <w:r>
              <w:t xml:space="preserve">2 175,30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244C" w14:textId="77777777" w:rsidR="0029591D" w:rsidRDefault="0029591D" w:rsidP="00F855C5">
            <w:pPr>
              <w:ind w:right="42"/>
              <w:jc w:val="center"/>
            </w:pPr>
            <w:r>
              <w:t xml:space="preserve">20,40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B4577" w14:textId="77777777" w:rsidR="0029591D" w:rsidRDefault="0029591D" w:rsidP="00F855C5">
            <w:pPr>
              <w:ind w:right="37"/>
              <w:jc w:val="center"/>
            </w:pPr>
            <w:r>
              <w:t xml:space="preserve">17,00 </w:t>
            </w:r>
          </w:p>
        </w:tc>
      </w:tr>
      <w:tr w:rsidR="0029591D" w14:paraId="76AB9075" w14:textId="77777777" w:rsidTr="0029591D">
        <w:trPr>
          <w:trHeight w:val="27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7D0438A9" w14:textId="77777777" w:rsidR="0029591D" w:rsidRDefault="0029591D" w:rsidP="00F855C5">
            <w:r>
              <w:t xml:space="preserve">Manažér pre programy KC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95E8" w14:textId="77777777" w:rsidR="0029591D" w:rsidRDefault="0029591D" w:rsidP="00F855C5">
            <w:pPr>
              <w:ind w:right="38"/>
              <w:jc w:val="center"/>
            </w:pPr>
            <w:r>
              <w:t xml:space="preserve">14,79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9B3BB" w14:textId="77777777" w:rsidR="0029591D" w:rsidRDefault="0029591D" w:rsidP="00F855C5">
            <w:pPr>
              <w:jc w:val="center"/>
            </w:pPr>
            <w:r>
              <w:t xml:space="preserve">2 559,17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ED96" w14:textId="77777777" w:rsidR="0029591D" w:rsidRDefault="0029591D" w:rsidP="00F855C5">
            <w:pPr>
              <w:ind w:right="43"/>
              <w:jc w:val="center"/>
            </w:pPr>
            <w:r>
              <w:t xml:space="preserve">24,00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9FD5" w14:textId="77777777" w:rsidR="0029591D" w:rsidRDefault="0029591D" w:rsidP="00F855C5">
            <w:pPr>
              <w:ind w:right="37"/>
              <w:jc w:val="center"/>
            </w:pPr>
            <w:r>
              <w:t xml:space="preserve">20,00 </w:t>
            </w:r>
          </w:p>
        </w:tc>
      </w:tr>
      <w:tr w:rsidR="0029591D" w14:paraId="69464693" w14:textId="77777777" w:rsidTr="0029591D">
        <w:trPr>
          <w:trHeight w:val="547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2ED1CFCB" w14:textId="77777777" w:rsidR="0029591D" w:rsidRDefault="0029591D" w:rsidP="00F855C5">
            <w:r>
              <w:t xml:space="preserve">Manažér pre expertné a konzultačné služby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D58D1" w14:textId="77777777" w:rsidR="0029591D" w:rsidRDefault="0029591D" w:rsidP="00F855C5">
            <w:pPr>
              <w:ind w:right="38"/>
              <w:jc w:val="center"/>
            </w:pPr>
            <w:r>
              <w:t xml:space="preserve">14,79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51AFF" w14:textId="77777777" w:rsidR="0029591D" w:rsidRDefault="0029591D" w:rsidP="00F855C5">
            <w:pPr>
              <w:jc w:val="center"/>
            </w:pPr>
            <w:r>
              <w:t xml:space="preserve">2 559,17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99702" w14:textId="77777777" w:rsidR="0029591D" w:rsidRDefault="0029591D" w:rsidP="00F855C5">
            <w:pPr>
              <w:ind w:right="43"/>
              <w:jc w:val="center"/>
            </w:pPr>
            <w:r>
              <w:t xml:space="preserve">24,00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F0A2" w14:textId="77777777" w:rsidR="0029591D" w:rsidRDefault="0029591D" w:rsidP="00F855C5">
            <w:pPr>
              <w:ind w:right="37"/>
              <w:jc w:val="center"/>
            </w:pPr>
            <w:r>
              <w:t xml:space="preserve">20,00 </w:t>
            </w:r>
          </w:p>
        </w:tc>
      </w:tr>
      <w:tr w:rsidR="0029591D" w14:paraId="254464AE" w14:textId="77777777" w:rsidTr="0029591D">
        <w:trPr>
          <w:trHeight w:val="54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480E596E" w14:textId="77777777" w:rsidR="0029591D" w:rsidRDefault="0029591D" w:rsidP="00F855C5">
            <w:r>
              <w:t xml:space="preserve">Koordinátor vzťahov s členmi KC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9BD9B" w14:textId="77777777" w:rsidR="0029591D" w:rsidRDefault="0029591D" w:rsidP="00F855C5">
            <w:pPr>
              <w:ind w:right="38"/>
              <w:jc w:val="center"/>
            </w:pPr>
            <w:r>
              <w:t xml:space="preserve">12,57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BCBAF" w14:textId="77777777" w:rsidR="0029591D" w:rsidRDefault="0029591D" w:rsidP="00F855C5">
            <w:pPr>
              <w:jc w:val="center"/>
            </w:pPr>
            <w:r>
              <w:t xml:space="preserve">2 175,30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1D363" w14:textId="77777777" w:rsidR="0029591D" w:rsidRDefault="0029591D" w:rsidP="00F855C5">
            <w:pPr>
              <w:ind w:right="43"/>
              <w:jc w:val="center"/>
            </w:pPr>
            <w:r>
              <w:t xml:space="preserve">20,40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75C80" w14:textId="77777777" w:rsidR="0029591D" w:rsidRDefault="0029591D" w:rsidP="00F855C5">
            <w:pPr>
              <w:ind w:right="37"/>
              <w:jc w:val="center"/>
            </w:pPr>
            <w:r>
              <w:t xml:space="preserve">17,00 </w:t>
            </w:r>
          </w:p>
        </w:tc>
      </w:tr>
      <w:tr w:rsidR="0029591D" w14:paraId="374B3476" w14:textId="77777777" w:rsidTr="0029591D">
        <w:trPr>
          <w:trHeight w:val="547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4BD73A4E" w14:textId="77777777" w:rsidR="0029591D" w:rsidRDefault="0029591D" w:rsidP="00F855C5">
            <w:r>
              <w:t xml:space="preserve">Koordinátor logistiky pre programy KC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4AD09" w14:textId="77777777" w:rsidR="0029591D" w:rsidRDefault="0029591D" w:rsidP="00F855C5">
            <w:pPr>
              <w:ind w:right="38"/>
              <w:jc w:val="center"/>
            </w:pPr>
            <w:r>
              <w:t xml:space="preserve">12,57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EFEEC" w14:textId="77777777" w:rsidR="0029591D" w:rsidRDefault="0029591D" w:rsidP="00F855C5">
            <w:pPr>
              <w:jc w:val="center"/>
            </w:pPr>
            <w:r>
              <w:t xml:space="preserve">2 175,30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6769C" w14:textId="77777777" w:rsidR="0029591D" w:rsidRDefault="0029591D" w:rsidP="00F855C5">
            <w:pPr>
              <w:ind w:right="43"/>
              <w:jc w:val="center"/>
            </w:pPr>
            <w:r>
              <w:t xml:space="preserve">20,40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0EE1A" w14:textId="77777777" w:rsidR="0029591D" w:rsidRDefault="0029591D" w:rsidP="00F855C5">
            <w:pPr>
              <w:ind w:right="37"/>
              <w:jc w:val="center"/>
            </w:pPr>
            <w:r>
              <w:t xml:space="preserve">17,00 </w:t>
            </w:r>
          </w:p>
        </w:tc>
      </w:tr>
      <w:tr w:rsidR="0029591D" w14:paraId="3E7F4AAD" w14:textId="77777777" w:rsidTr="0029591D">
        <w:trPr>
          <w:trHeight w:val="547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5B28649D" w14:textId="77777777" w:rsidR="0029591D" w:rsidRDefault="0029591D" w:rsidP="00F855C5">
            <w:r>
              <w:t xml:space="preserve">Web administrátor / správca IT systémov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8BB65" w14:textId="77777777" w:rsidR="0029591D" w:rsidRDefault="0029591D" w:rsidP="00F855C5">
            <w:pPr>
              <w:ind w:right="36"/>
              <w:jc w:val="center"/>
            </w:pPr>
            <w:r>
              <w:t xml:space="preserve">8,14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9DBCB" w14:textId="77777777" w:rsidR="0029591D" w:rsidRDefault="0029591D" w:rsidP="00F855C5">
            <w:pPr>
              <w:jc w:val="center"/>
            </w:pPr>
            <w:r>
              <w:t xml:space="preserve">1 407,54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1ED3C" w14:textId="77777777" w:rsidR="0029591D" w:rsidRDefault="0029591D" w:rsidP="00F855C5">
            <w:pPr>
              <w:ind w:right="43"/>
              <w:jc w:val="center"/>
            </w:pPr>
            <w:r>
              <w:t xml:space="preserve">13,20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7059D" w14:textId="77777777" w:rsidR="0029591D" w:rsidRDefault="0029591D" w:rsidP="00F855C5">
            <w:pPr>
              <w:ind w:right="37"/>
              <w:jc w:val="center"/>
            </w:pPr>
            <w:r>
              <w:t xml:space="preserve">11,00 </w:t>
            </w:r>
          </w:p>
        </w:tc>
      </w:tr>
      <w:tr w:rsidR="0029591D" w14:paraId="2B0C49F3" w14:textId="77777777" w:rsidTr="0029591D">
        <w:trPr>
          <w:trHeight w:val="27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3460A564" w14:textId="77777777" w:rsidR="0029591D" w:rsidRDefault="0029591D" w:rsidP="00F855C5">
            <w:r>
              <w:rPr>
                <w:rFonts w:ascii="Calibri" w:eastAsia="Calibri" w:hAnsi="Calibri" w:cs="Calibri"/>
                <w:b/>
              </w:rPr>
              <w:t>Riaditeľ pre rozvoj</w:t>
            </w:r>
            <w:r>
              <w:t xml:space="preserve">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BF4C" w14:textId="77777777" w:rsidR="0029591D" w:rsidRDefault="0029591D" w:rsidP="00F855C5">
            <w:pPr>
              <w:ind w:right="38"/>
              <w:jc w:val="center"/>
            </w:pPr>
            <w:r>
              <w:t xml:space="preserve">12,57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BBE0" w14:textId="77777777" w:rsidR="0029591D" w:rsidRDefault="0029591D" w:rsidP="00F855C5">
            <w:pPr>
              <w:jc w:val="center"/>
            </w:pPr>
            <w:r>
              <w:t xml:space="preserve">2 175,30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C3E32" w14:textId="77777777" w:rsidR="0029591D" w:rsidRDefault="0029591D" w:rsidP="00F855C5">
            <w:pPr>
              <w:ind w:right="42"/>
              <w:jc w:val="center"/>
            </w:pPr>
            <w:r>
              <w:t xml:space="preserve">20,40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B206" w14:textId="77777777" w:rsidR="0029591D" w:rsidRDefault="0029591D" w:rsidP="00F855C5">
            <w:pPr>
              <w:ind w:right="37"/>
              <w:jc w:val="center"/>
            </w:pPr>
            <w:r>
              <w:t xml:space="preserve">17,00 </w:t>
            </w:r>
          </w:p>
        </w:tc>
      </w:tr>
      <w:tr w:rsidR="0029591D" w14:paraId="4018107F" w14:textId="77777777" w:rsidTr="0029591D">
        <w:trPr>
          <w:trHeight w:val="27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117DCAD8" w14:textId="77777777" w:rsidR="0029591D" w:rsidRDefault="0029591D" w:rsidP="00F855C5">
            <w:r>
              <w:t xml:space="preserve">Marketingový manažér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7299" w14:textId="77777777" w:rsidR="0029591D" w:rsidRDefault="0029591D" w:rsidP="00F855C5">
            <w:pPr>
              <w:ind w:right="38"/>
              <w:jc w:val="center"/>
            </w:pPr>
            <w:r>
              <w:t xml:space="preserve">14,79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1EE9" w14:textId="77777777" w:rsidR="0029591D" w:rsidRDefault="0029591D" w:rsidP="00F855C5">
            <w:pPr>
              <w:jc w:val="center"/>
            </w:pPr>
            <w:r>
              <w:t xml:space="preserve">2 559,17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CDD9" w14:textId="77777777" w:rsidR="0029591D" w:rsidRDefault="0029591D" w:rsidP="00F855C5">
            <w:pPr>
              <w:ind w:right="43"/>
              <w:jc w:val="center"/>
            </w:pPr>
            <w:r>
              <w:t xml:space="preserve">24,00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EBC1" w14:textId="77777777" w:rsidR="0029591D" w:rsidRDefault="0029591D" w:rsidP="00F855C5">
            <w:pPr>
              <w:ind w:right="37"/>
              <w:jc w:val="center"/>
            </w:pPr>
            <w:r>
              <w:t xml:space="preserve">20,00 </w:t>
            </w:r>
          </w:p>
        </w:tc>
      </w:tr>
      <w:tr w:rsidR="0029591D" w14:paraId="6DD7F9E8" w14:textId="77777777" w:rsidTr="0029591D">
        <w:trPr>
          <w:trHeight w:val="27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763DB99E" w14:textId="77777777" w:rsidR="0029591D" w:rsidRDefault="0029591D" w:rsidP="00F855C5">
            <w:r>
              <w:t xml:space="preserve">PR špecialista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6C84D" w14:textId="77777777" w:rsidR="0029591D" w:rsidRDefault="0029591D" w:rsidP="00F855C5">
            <w:pPr>
              <w:ind w:right="38"/>
              <w:jc w:val="center"/>
            </w:pPr>
            <w:r>
              <w:t xml:space="preserve">14,79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F0D02" w14:textId="77777777" w:rsidR="0029591D" w:rsidRDefault="0029591D" w:rsidP="00F855C5">
            <w:pPr>
              <w:jc w:val="center"/>
            </w:pPr>
            <w:r>
              <w:t xml:space="preserve">2 559,17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FA2B" w14:textId="77777777" w:rsidR="0029591D" w:rsidRDefault="0029591D" w:rsidP="00F855C5">
            <w:pPr>
              <w:ind w:right="43"/>
              <w:jc w:val="center"/>
            </w:pPr>
            <w:r>
              <w:t xml:space="preserve">24,00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0170" w14:textId="77777777" w:rsidR="0029591D" w:rsidRDefault="0029591D" w:rsidP="00F855C5">
            <w:pPr>
              <w:ind w:right="37"/>
              <w:jc w:val="center"/>
            </w:pPr>
            <w:r>
              <w:t xml:space="preserve">20,00 </w:t>
            </w:r>
          </w:p>
        </w:tc>
      </w:tr>
      <w:tr w:rsidR="0029591D" w14:paraId="31D1663B" w14:textId="77777777" w:rsidTr="0029591D">
        <w:trPr>
          <w:trHeight w:val="547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119B196B" w14:textId="77777777" w:rsidR="0029591D" w:rsidRDefault="0029591D" w:rsidP="00F855C5">
            <w:proofErr w:type="spellStart"/>
            <w:r>
              <w:t>Fundraisor</w:t>
            </w:r>
            <w:proofErr w:type="spellEnd"/>
            <w:r>
              <w:t xml:space="preserve">/ </w:t>
            </w:r>
          </w:p>
          <w:p w14:paraId="062AD326" w14:textId="77777777" w:rsidR="0029591D" w:rsidRDefault="0029591D" w:rsidP="00F855C5">
            <w:r>
              <w:t xml:space="preserve">Koordinátor partnerstiev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311E7" w14:textId="77777777" w:rsidR="0029591D" w:rsidRDefault="0029591D" w:rsidP="00F855C5">
            <w:pPr>
              <w:ind w:right="38"/>
              <w:jc w:val="center"/>
            </w:pPr>
            <w:r>
              <w:t xml:space="preserve">11,09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8E22" w14:textId="77777777" w:rsidR="0029591D" w:rsidRDefault="0029591D" w:rsidP="00F855C5">
            <w:pPr>
              <w:jc w:val="center"/>
            </w:pPr>
            <w:r>
              <w:t xml:space="preserve">1 919,38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35F34" w14:textId="77777777" w:rsidR="0029591D" w:rsidRDefault="0029591D" w:rsidP="00F855C5">
            <w:pPr>
              <w:ind w:right="43"/>
              <w:jc w:val="center"/>
            </w:pPr>
            <w:r>
              <w:t xml:space="preserve">18,00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83837" w14:textId="77777777" w:rsidR="0029591D" w:rsidRDefault="0029591D" w:rsidP="00F855C5">
            <w:pPr>
              <w:ind w:right="37"/>
              <w:jc w:val="center"/>
            </w:pPr>
            <w:r>
              <w:t xml:space="preserve">15,00 </w:t>
            </w:r>
          </w:p>
        </w:tc>
      </w:tr>
      <w:tr w:rsidR="0029591D" w14:paraId="19DB7FFC" w14:textId="77777777" w:rsidTr="0029591D">
        <w:trPr>
          <w:trHeight w:val="27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494BAD84" w14:textId="77777777" w:rsidR="0029591D" w:rsidRDefault="0029591D" w:rsidP="00F855C5">
            <w:r>
              <w:rPr>
                <w:rFonts w:ascii="Calibri" w:eastAsia="Calibri" w:hAnsi="Calibri" w:cs="Calibri"/>
                <w:b/>
              </w:rPr>
              <w:t>Finančný riaditeľ</w:t>
            </w:r>
            <w:r>
              <w:t xml:space="preserve">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70C0" w14:textId="77777777" w:rsidR="0029591D" w:rsidRDefault="0029591D" w:rsidP="00F855C5">
            <w:pPr>
              <w:ind w:right="38"/>
              <w:jc w:val="center"/>
            </w:pPr>
            <w:r>
              <w:t xml:space="preserve">12,57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60BF" w14:textId="77777777" w:rsidR="0029591D" w:rsidRDefault="0029591D" w:rsidP="00F855C5">
            <w:pPr>
              <w:jc w:val="center"/>
            </w:pPr>
            <w:r>
              <w:t xml:space="preserve">2 175,30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67E9" w14:textId="77777777" w:rsidR="0029591D" w:rsidRDefault="0029591D" w:rsidP="00F855C5">
            <w:pPr>
              <w:ind w:right="43"/>
              <w:jc w:val="center"/>
            </w:pPr>
            <w:r>
              <w:t xml:space="preserve">20,40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93E64" w14:textId="77777777" w:rsidR="0029591D" w:rsidRDefault="0029591D" w:rsidP="00F855C5">
            <w:pPr>
              <w:ind w:right="37"/>
              <w:jc w:val="center"/>
            </w:pPr>
            <w:r>
              <w:t xml:space="preserve">17,00 </w:t>
            </w:r>
          </w:p>
        </w:tc>
      </w:tr>
      <w:tr w:rsidR="0029591D" w14:paraId="6437C247" w14:textId="77777777" w:rsidTr="0029591D">
        <w:trPr>
          <w:trHeight w:val="279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14C9B17A" w14:textId="77777777" w:rsidR="0029591D" w:rsidRDefault="0029591D" w:rsidP="00F855C5">
            <w:r>
              <w:t xml:space="preserve">Účtovník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A6160" w14:textId="77777777" w:rsidR="0029591D" w:rsidRDefault="0029591D" w:rsidP="00F855C5">
            <w:pPr>
              <w:ind w:right="36"/>
              <w:jc w:val="center"/>
            </w:pPr>
            <w:r>
              <w:t xml:space="preserve">6,05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6615C" w14:textId="77777777" w:rsidR="0029591D" w:rsidRDefault="0029591D" w:rsidP="00F855C5">
            <w:pPr>
              <w:jc w:val="center"/>
            </w:pPr>
            <w:r>
              <w:t xml:space="preserve">1 046,00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1FD30" w14:textId="77777777" w:rsidR="0029591D" w:rsidRDefault="0029591D" w:rsidP="00F855C5">
            <w:pPr>
              <w:ind w:right="40"/>
              <w:jc w:val="center"/>
            </w:pPr>
            <w:r>
              <w:t xml:space="preserve">9,81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CA18" w14:textId="77777777" w:rsidR="0029591D" w:rsidRDefault="0029591D" w:rsidP="00F855C5">
            <w:pPr>
              <w:jc w:val="center"/>
            </w:pPr>
            <w:r>
              <w:t xml:space="preserve">8,17 </w:t>
            </w:r>
          </w:p>
        </w:tc>
      </w:tr>
      <w:tr w:rsidR="0029591D" w14:paraId="372110CD" w14:textId="77777777" w:rsidTr="0029591D">
        <w:trPr>
          <w:trHeight w:val="27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4A24FA2E" w14:textId="77777777" w:rsidR="0029591D" w:rsidRDefault="0029591D" w:rsidP="00F855C5">
            <w:r>
              <w:t xml:space="preserve">Personalista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E8F21" w14:textId="77777777" w:rsidR="0029591D" w:rsidRDefault="0029591D" w:rsidP="00F855C5">
            <w:pPr>
              <w:ind w:right="36"/>
              <w:jc w:val="center"/>
            </w:pPr>
            <w:r>
              <w:t xml:space="preserve">6,05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A559" w14:textId="77777777" w:rsidR="0029591D" w:rsidRDefault="0029591D" w:rsidP="00F855C5">
            <w:pPr>
              <w:jc w:val="center"/>
            </w:pPr>
            <w:r>
              <w:t xml:space="preserve">1 046,00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548A8" w14:textId="77777777" w:rsidR="0029591D" w:rsidRDefault="0029591D" w:rsidP="00F855C5">
            <w:pPr>
              <w:ind w:right="40"/>
              <w:jc w:val="center"/>
            </w:pPr>
            <w:r>
              <w:t xml:space="preserve">9,81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4280" w14:textId="77777777" w:rsidR="0029591D" w:rsidRDefault="0029591D" w:rsidP="00F855C5">
            <w:pPr>
              <w:jc w:val="center"/>
            </w:pPr>
            <w:r>
              <w:t xml:space="preserve">8,17 </w:t>
            </w:r>
          </w:p>
        </w:tc>
      </w:tr>
      <w:tr w:rsidR="0029591D" w14:paraId="35CAD08E" w14:textId="77777777" w:rsidTr="0029591D">
        <w:trPr>
          <w:trHeight w:val="27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0A8E5C52" w14:textId="77777777" w:rsidR="0029591D" w:rsidRDefault="0029591D" w:rsidP="00F855C5">
            <w:r>
              <w:t xml:space="preserve">Právny poradca 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87315" w14:textId="77777777" w:rsidR="0029591D" w:rsidRDefault="0029591D" w:rsidP="00F855C5">
            <w:pPr>
              <w:ind w:right="38"/>
              <w:jc w:val="center"/>
            </w:pPr>
            <w:r>
              <w:t xml:space="preserve">14,79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B66F" w14:textId="77777777" w:rsidR="0029591D" w:rsidRDefault="0029591D" w:rsidP="00F855C5">
            <w:pPr>
              <w:jc w:val="center"/>
            </w:pPr>
            <w:r>
              <w:t xml:space="preserve">2 559,17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A96F2" w14:textId="77777777" w:rsidR="0029591D" w:rsidRDefault="0029591D" w:rsidP="00F855C5">
            <w:pPr>
              <w:ind w:right="43"/>
              <w:jc w:val="center"/>
            </w:pPr>
            <w:r>
              <w:t xml:space="preserve">24,00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D747D" w14:textId="77777777" w:rsidR="0029591D" w:rsidRDefault="0029591D" w:rsidP="00F855C5">
            <w:pPr>
              <w:ind w:right="37"/>
              <w:jc w:val="center"/>
            </w:pPr>
            <w:r>
              <w:t xml:space="preserve">20,00 </w:t>
            </w:r>
          </w:p>
        </w:tc>
      </w:tr>
      <w:tr w:rsidR="0029591D" w14:paraId="2B0EE41F" w14:textId="77777777" w:rsidTr="0029591D">
        <w:trPr>
          <w:trHeight w:val="278"/>
        </w:trPr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</w:tcPr>
          <w:p w14:paraId="40AF95B4" w14:textId="77777777" w:rsidR="0029591D" w:rsidRDefault="0029591D" w:rsidP="00F855C5">
            <w:r>
              <w:rPr>
                <w:rFonts w:ascii="Calibri" w:eastAsia="Calibri" w:hAnsi="Calibri" w:cs="Calibri"/>
                <w:b/>
              </w:rPr>
              <w:lastRenderedPageBreak/>
              <w:t xml:space="preserve">Podporné aktivity </w:t>
            </w:r>
          </w:p>
        </w:tc>
      </w:tr>
      <w:tr w:rsidR="0029591D" w14:paraId="03D17B19" w14:textId="77777777" w:rsidTr="0029591D">
        <w:trPr>
          <w:trHeight w:val="27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</w:tcPr>
          <w:p w14:paraId="755248E8" w14:textId="77777777" w:rsidR="0029591D" w:rsidRPr="00A335A9" w:rsidRDefault="0029591D" w:rsidP="00F855C5">
            <w:r w:rsidRPr="00360F72">
              <w:rPr>
                <w:rFonts w:ascii="Calibri" w:eastAsia="Calibri" w:hAnsi="Calibri" w:cs="Calibri"/>
                <w:b/>
              </w:rPr>
              <w:t>Projektový manažér</w:t>
            </w:r>
            <w:r w:rsidRPr="00360F72">
              <w:t xml:space="preserve">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EFB4" w14:textId="77777777" w:rsidR="0029591D" w:rsidRDefault="0029591D" w:rsidP="00F855C5">
            <w:pPr>
              <w:ind w:right="38"/>
              <w:jc w:val="center"/>
            </w:pPr>
            <w:r>
              <w:t xml:space="preserve">11,09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FBD4F" w14:textId="77777777" w:rsidR="0029591D" w:rsidRDefault="0029591D" w:rsidP="00F855C5">
            <w:pPr>
              <w:jc w:val="center"/>
            </w:pPr>
            <w:r>
              <w:t xml:space="preserve">1 919,38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4F59" w14:textId="77777777" w:rsidR="0029591D" w:rsidRDefault="0029591D" w:rsidP="00F855C5">
            <w:pPr>
              <w:ind w:right="43"/>
              <w:jc w:val="center"/>
            </w:pPr>
            <w:r>
              <w:t xml:space="preserve">18,00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E665" w14:textId="77777777" w:rsidR="0029591D" w:rsidRDefault="0029591D" w:rsidP="00F855C5">
            <w:pPr>
              <w:ind w:right="37"/>
              <w:jc w:val="center"/>
            </w:pPr>
            <w:r>
              <w:t xml:space="preserve">15,00 </w:t>
            </w:r>
          </w:p>
        </w:tc>
      </w:tr>
      <w:tr w:rsidR="0029591D" w14:paraId="19CD6FB6" w14:textId="77777777" w:rsidTr="0029591D">
        <w:trPr>
          <w:trHeight w:val="546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</w:tcPr>
          <w:p w14:paraId="166C2FB9" w14:textId="77777777" w:rsidR="0029591D" w:rsidRPr="00A335A9" w:rsidRDefault="0029591D" w:rsidP="00F855C5">
            <w:r w:rsidRPr="00360F72">
              <w:t xml:space="preserve">Asistent projektového manažéra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F842E" w14:textId="77777777" w:rsidR="0029591D" w:rsidRDefault="0029591D" w:rsidP="00F855C5">
            <w:pPr>
              <w:ind w:right="36"/>
              <w:jc w:val="center"/>
            </w:pPr>
            <w:r>
              <w:t xml:space="preserve">8,14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EA67E" w14:textId="77777777" w:rsidR="0029591D" w:rsidRDefault="0029591D" w:rsidP="00F855C5">
            <w:pPr>
              <w:jc w:val="center"/>
            </w:pPr>
            <w:r>
              <w:t xml:space="preserve">1 407,54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5D1B8" w14:textId="77777777" w:rsidR="0029591D" w:rsidRDefault="0029591D" w:rsidP="00F855C5">
            <w:pPr>
              <w:ind w:right="43"/>
              <w:jc w:val="center"/>
            </w:pPr>
            <w:r>
              <w:t xml:space="preserve">13,20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B3E2F" w14:textId="77777777" w:rsidR="0029591D" w:rsidRDefault="0029591D" w:rsidP="00F855C5">
            <w:pPr>
              <w:ind w:right="37"/>
              <w:jc w:val="center"/>
            </w:pPr>
            <w:r>
              <w:t xml:space="preserve">11,00 </w:t>
            </w:r>
          </w:p>
        </w:tc>
      </w:tr>
      <w:tr w:rsidR="0029591D" w14:paraId="63CEF32F" w14:textId="77777777" w:rsidTr="0029591D">
        <w:trPr>
          <w:trHeight w:val="1085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DD6EE" w:themeFill="accent5" w:themeFillTint="66"/>
          </w:tcPr>
          <w:p w14:paraId="79435C66" w14:textId="7492EF87" w:rsidR="0029591D" w:rsidRPr="00360F72" w:rsidRDefault="0029591D" w:rsidP="00F855C5">
            <w:r w:rsidRPr="00360F72">
              <w:t>Manažér pre</w:t>
            </w:r>
            <w:r w:rsidR="00B00A93">
              <w:t xml:space="preserve"> monitorovanie, informovanosť a </w:t>
            </w:r>
            <w:r w:rsidRPr="00360F72">
              <w:t xml:space="preserve">komunikáciu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3CB99B" w14:textId="77777777" w:rsidR="0029591D" w:rsidRDefault="0029591D" w:rsidP="00F855C5">
            <w:pPr>
              <w:jc w:val="center"/>
            </w:pPr>
            <w:r>
              <w:t xml:space="preserve">11,09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A92F39" w14:textId="77777777" w:rsidR="0029591D" w:rsidRDefault="0029591D" w:rsidP="00F855C5">
            <w:pPr>
              <w:ind w:right="38"/>
              <w:jc w:val="center"/>
            </w:pPr>
            <w:r>
              <w:t xml:space="preserve">1 919,38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857539" w14:textId="77777777" w:rsidR="0029591D" w:rsidRDefault="0029591D" w:rsidP="00F855C5">
            <w:pPr>
              <w:ind w:right="42"/>
              <w:jc w:val="center"/>
            </w:pPr>
            <w:r>
              <w:t xml:space="preserve">18,00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EEEB8B" w14:textId="77777777" w:rsidR="0029591D" w:rsidRDefault="0029591D" w:rsidP="00F855C5">
            <w:pPr>
              <w:ind w:right="37"/>
              <w:jc w:val="center"/>
            </w:pPr>
            <w:r>
              <w:t xml:space="preserve">15,00 </w:t>
            </w:r>
          </w:p>
        </w:tc>
      </w:tr>
      <w:tr w:rsidR="0029591D" w14:paraId="50453FBD" w14:textId="77777777" w:rsidTr="0029591D">
        <w:trPr>
          <w:trHeight w:val="546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5543B0D" w14:textId="77777777" w:rsidR="0029591D" w:rsidRPr="00360F72" w:rsidRDefault="0029591D" w:rsidP="00F855C5">
            <w:pPr>
              <w:ind w:right="24"/>
            </w:pPr>
            <w:r w:rsidRPr="00360F72">
              <w:t xml:space="preserve">Finančný manažér projektu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278E" w14:textId="77777777" w:rsidR="0029591D" w:rsidRDefault="0029591D" w:rsidP="00F855C5">
            <w:pPr>
              <w:jc w:val="center"/>
            </w:pPr>
            <w:r>
              <w:t xml:space="preserve">11,09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5784" w14:textId="77777777" w:rsidR="0029591D" w:rsidRDefault="0029591D" w:rsidP="00F855C5">
            <w:pPr>
              <w:ind w:right="38"/>
              <w:jc w:val="center"/>
            </w:pPr>
            <w:r>
              <w:t xml:space="preserve">1 919,38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3021" w14:textId="77777777" w:rsidR="0029591D" w:rsidRDefault="0029591D" w:rsidP="00F855C5">
            <w:pPr>
              <w:ind w:right="41"/>
              <w:jc w:val="center"/>
            </w:pPr>
            <w:r>
              <w:t xml:space="preserve">18,00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3F47" w14:textId="77777777" w:rsidR="0029591D" w:rsidRDefault="0029591D" w:rsidP="00F855C5">
            <w:pPr>
              <w:ind w:right="37"/>
              <w:jc w:val="center"/>
            </w:pPr>
            <w:r>
              <w:t xml:space="preserve">15,00 </w:t>
            </w:r>
          </w:p>
        </w:tc>
      </w:tr>
      <w:tr w:rsidR="0029591D" w14:paraId="1CB19443" w14:textId="77777777" w:rsidTr="0029591D">
        <w:trPr>
          <w:trHeight w:val="54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BAB114D" w14:textId="77777777" w:rsidR="0029591D" w:rsidRPr="00360F72" w:rsidRDefault="0029591D" w:rsidP="00F855C5">
            <w:r w:rsidRPr="00360F72">
              <w:t xml:space="preserve">Špecialista na verejné obstarávanie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7012" w14:textId="77777777" w:rsidR="0029591D" w:rsidRDefault="0029591D" w:rsidP="00F855C5">
            <w:pPr>
              <w:jc w:val="center"/>
            </w:pPr>
            <w:r>
              <w:t xml:space="preserve">11,09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25C0" w14:textId="77777777" w:rsidR="0029591D" w:rsidRDefault="0029591D" w:rsidP="00F855C5">
            <w:pPr>
              <w:ind w:right="38"/>
              <w:jc w:val="center"/>
            </w:pPr>
            <w:r>
              <w:t xml:space="preserve">1 919,38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0DF7" w14:textId="77777777" w:rsidR="0029591D" w:rsidRDefault="0029591D" w:rsidP="00F855C5">
            <w:pPr>
              <w:ind w:right="41"/>
              <w:jc w:val="center"/>
            </w:pPr>
            <w:r>
              <w:t xml:space="preserve">18,00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A70E" w14:textId="77777777" w:rsidR="0029591D" w:rsidRDefault="0029591D" w:rsidP="00F855C5">
            <w:pPr>
              <w:ind w:right="37"/>
              <w:jc w:val="center"/>
            </w:pPr>
            <w:r>
              <w:t xml:space="preserve">15,00 </w:t>
            </w:r>
          </w:p>
        </w:tc>
      </w:tr>
    </w:tbl>
    <w:p w14:paraId="45E90F12" w14:textId="5EC11655" w:rsidR="0029591D" w:rsidRDefault="0029591D" w:rsidP="00F855C5">
      <w:pPr>
        <w:spacing w:after="98"/>
        <w:rPr>
          <w:lang w:val="en-US"/>
        </w:rPr>
      </w:pPr>
    </w:p>
    <w:p w14:paraId="3082AC8C" w14:textId="4CAC3A86" w:rsidR="00E45A82" w:rsidRDefault="00E45A82" w:rsidP="00F855C5">
      <w:pPr>
        <w:spacing w:after="98"/>
      </w:pPr>
      <w:r w:rsidRPr="00E45A82">
        <w:t>Oprá</w:t>
      </w:r>
      <w:r>
        <w:t>v</w:t>
      </w:r>
      <w:r w:rsidRPr="00E45A82">
        <w:t>nený osobný výdavok musí zohľadňovať aj doterajšiu mzdovú politiku zamestnávateľa (Prijímateľa).</w:t>
      </w:r>
    </w:p>
    <w:p w14:paraId="064E02C5" w14:textId="79CCFC1B" w:rsidR="00E45A82" w:rsidRDefault="00E45A82" w:rsidP="00F855C5">
      <w:r>
        <w:br w:type="page"/>
      </w:r>
    </w:p>
    <w:p w14:paraId="38365309" w14:textId="77777777" w:rsidR="0009486D" w:rsidRDefault="0009486D" w:rsidP="00F855C5">
      <w:pPr>
        <w:spacing w:after="98"/>
      </w:pPr>
      <w:r>
        <w:rPr>
          <w:sz w:val="24"/>
        </w:rPr>
        <w:lastRenderedPageBreak/>
        <w:t xml:space="preserve">Kvalifikačné požiadavky na jednotlivé pozície organizačnej štruktúry KC  </w:t>
      </w:r>
    </w:p>
    <w:p w14:paraId="79F18F4A" w14:textId="43130298" w:rsidR="0009486D" w:rsidRDefault="0009486D" w:rsidP="00F855C5"/>
    <w:tbl>
      <w:tblPr>
        <w:tblStyle w:val="Strednmrieka1zvraznenie1"/>
        <w:tblW w:w="9204" w:type="dxa"/>
        <w:tblLook w:val="04A0" w:firstRow="1" w:lastRow="0" w:firstColumn="1" w:lastColumn="0" w:noHBand="0" w:noVBand="1"/>
      </w:tblPr>
      <w:tblGrid>
        <w:gridCol w:w="1975"/>
        <w:gridCol w:w="4536"/>
        <w:gridCol w:w="2693"/>
      </w:tblGrid>
      <w:tr w:rsidR="0009486D" w:rsidRPr="00582FAC" w14:paraId="13698954" w14:textId="77777777" w:rsidTr="00B00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3761E969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sz w:val="21"/>
                <w:szCs w:val="21"/>
              </w:rPr>
            </w:pPr>
            <w:r w:rsidRPr="00582FAC">
              <w:rPr>
                <w:sz w:val="21"/>
                <w:szCs w:val="21"/>
              </w:rPr>
              <w:t>Pracovná pozícia</w:t>
            </w:r>
          </w:p>
        </w:tc>
        <w:tc>
          <w:tcPr>
            <w:tcW w:w="4536" w:type="dxa"/>
          </w:tcPr>
          <w:p w14:paraId="424437D6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582FAC">
              <w:rPr>
                <w:sz w:val="21"/>
                <w:szCs w:val="21"/>
              </w:rPr>
              <w:t>Popis rámcových činností</w:t>
            </w:r>
          </w:p>
        </w:tc>
        <w:tc>
          <w:tcPr>
            <w:tcW w:w="2693" w:type="dxa"/>
          </w:tcPr>
          <w:p w14:paraId="4E1EECA6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582FAC">
              <w:rPr>
                <w:sz w:val="21"/>
                <w:szCs w:val="21"/>
              </w:rPr>
              <w:t>Minimálne kvalifikačné a odborné predpoklady</w:t>
            </w:r>
          </w:p>
        </w:tc>
      </w:tr>
      <w:tr w:rsidR="0009486D" w:rsidRPr="00582FAC" w14:paraId="0C3935C2" w14:textId="77777777" w:rsidTr="00B00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52C61A01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bCs w:val="0"/>
                <w:sz w:val="21"/>
                <w:szCs w:val="21"/>
              </w:rPr>
            </w:pPr>
            <w:r w:rsidRPr="00582FAC">
              <w:rPr>
                <w:bCs w:val="0"/>
                <w:sz w:val="21"/>
                <w:szCs w:val="21"/>
              </w:rPr>
              <w:t>Koordinátor programov</w:t>
            </w:r>
          </w:p>
        </w:tc>
        <w:tc>
          <w:tcPr>
            <w:tcW w:w="4536" w:type="dxa"/>
          </w:tcPr>
          <w:p w14:paraId="14DCEE2E" w14:textId="54E40703" w:rsidR="006D2C07" w:rsidRPr="00582FAC" w:rsidRDefault="00582FAC" w:rsidP="00F855C5">
            <w:pPr>
              <w:pStyle w:val="Normlnywebov"/>
              <w:numPr>
                <w:ilvl w:val="0"/>
                <w:numId w:val="15"/>
              </w:numPr>
              <w:ind w:left="311" w:hanging="28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</w:rPr>
            </w:pPr>
            <w:r w:rsidRPr="00582FAC">
              <w:rPr>
                <w:rFonts w:asciiTheme="minorHAnsi" w:hAnsiTheme="minorHAnsi"/>
                <w:sz w:val="21"/>
                <w:szCs w:val="21"/>
              </w:rPr>
              <w:t>Plánuje</w:t>
            </w:r>
            <w:r w:rsidR="006D2C07" w:rsidRPr="00582FAC">
              <w:rPr>
                <w:rFonts w:asciiTheme="minorHAnsi" w:hAnsiTheme="minorHAnsi"/>
                <w:sz w:val="21"/>
                <w:szCs w:val="21"/>
              </w:rPr>
              <w:t xml:space="preserve">, riadi, koordinuje a 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>hodnotí</w:t>
            </w:r>
            <w:r w:rsidR="006D2C07" w:rsidRPr="00582FAC">
              <w:rPr>
                <w:rFonts w:asciiTheme="minorHAnsi" w:hAnsiTheme="minorHAnsi"/>
                <w:sz w:val="21"/>
                <w:szCs w:val="21"/>
              </w:rPr>
              <w:t xml:space="preserve">́ 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>činnosti</w:t>
            </w:r>
            <w:r w:rsidR="00B00A93">
              <w:rPr>
                <w:rFonts w:asciiTheme="minorHAnsi" w:hAnsiTheme="minorHAnsi"/>
                <w:sz w:val="21"/>
                <w:szCs w:val="21"/>
              </w:rPr>
              <w:t xml:space="preserve"> v 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>rámci</w:t>
            </w:r>
            <w:r w:rsidR="006D2C07" w:rsidRPr="00582FAC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>hlavných</w:t>
            </w:r>
            <w:r w:rsidR="006D2C07" w:rsidRPr="00582FAC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>aktivít</w:t>
            </w:r>
            <w:r w:rsidR="006D2C07" w:rsidRPr="00582FAC">
              <w:rPr>
                <w:rFonts w:asciiTheme="minorHAnsi" w:hAnsiTheme="minorHAnsi"/>
                <w:sz w:val="21"/>
                <w:szCs w:val="21"/>
              </w:rPr>
              <w:t xml:space="preserve"> projektu (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>predovšetkým</w:t>
            </w:r>
            <w:r w:rsidR="006D2C07" w:rsidRPr="00582FAC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>realizácii</w:t>
            </w:r>
            <w:r w:rsidR="006D2C07" w:rsidRPr="00582FAC">
              <w:rPr>
                <w:rFonts w:asciiTheme="minorHAnsi" w:hAnsiTheme="minorHAnsi"/>
                <w:sz w:val="21"/>
                <w:szCs w:val="21"/>
              </w:rPr>
              <w:t xml:space="preserve"> programov KC), </w:t>
            </w:r>
          </w:p>
          <w:p w14:paraId="7AAA2197" w14:textId="6A698E73" w:rsidR="006D2C07" w:rsidRPr="00582FAC" w:rsidRDefault="006D2C07" w:rsidP="00F855C5">
            <w:pPr>
              <w:pStyle w:val="Normlnywebov"/>
              <w:numPr>
                <w:ilvl w:val="0"/>
                <w:numId w:val="15"/>
              </w:numPr>
              <w:spacing w:before="0" w:beforeAutospacing="0" w:after="0" w:afterAutospacing="0"/>
              <w:ind w:left="312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</w:rPr>
            </w:pPr>
            <w:r w:rsidRPr="00582FAC">
              <w:rPr>
                <w:rFonts w:asciiTheme="minorHAnsi" w:hAnsiTheme="minorHAnsi"/>
                <w:sz w:val="21"/>
                <w:szCs w:val="21"/>
              </w:rPr>
              <w:t xml:space="preserve">Koordinuje osoby </w:t>
            </w:r>
            <w:r w:rsidR="00582FAC" w:rsidRPr="00582FAC">
              <w:rPr>
                <w:rFonts w:asciiTheme="minorHAnsi" w:hAnsiTheme="minorHAnsi"/>
                <w:sz w:val="21"/>
                <w:szCs w:val="21"/>
              </w:rPr>
              <w:t>podieľajúce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 xml:space="preserve"> sa na </w:t>
            </w:r>
            <w:r w:rsidR="00582FAC" w:rsidRPr="00582FAC">
              <w:rPr>
                <w:rFonts w:asciiTheme="minorHAnsi" w:hAnsiTheme="minorHAnsi"/>
                <w:sz w:val="21"/>
                <w:szCs w:val="21"/>
              </w:rPr>
              <w:t>hlavných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582FAC" w:rsidRPr="00582FAC">
              <w:rPr>
                <w:rFonts w:asciiTheme="minorHAnsi" w:hAnsiTheme="minorHAnsi"/>
                <w:sz w:val="21"/>
                <w:szCs w:val="21"/>
              </w:rPr>
              <w:t>aktivitách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 xml:space="preserve"> projektu (napr. účastníci programov, experti, </w:t>
            </w:r>
            <w:r w:rsidR="00582FAC" w:rsidRPr="00582FAC">
              <w:rPr>
                <w:rFonts w:asciiTheme="minorHAnsi" w:hAnsiTheme="minorHAnsi"/>
                <w:sz w:val="21"/>
                <w:szCs w:val="21"/>
              </w:rPr>
              <w:t>zástupcovia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582FAC" w:rsidRPr="00582FAC">
              <w:rPr>
                <w:rFonts w:asciiTheme="minorHAnsi" w:hAnsiTheme="minorHAnsi"/>
                <w:sz w:val="21"/>
                <w:szCs w:val="21"/>
              </w:rPr>
              <w:t>spolupracujúcich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582FAC" w:rsidRPr="00582FAC">
              <w:rPr>
                <w:rFonts w:asciiTheme="minorHAnsi" w:hAnsiTheme="minorHAnsi"/>
                <w:sz w:val="21"/>
                <w:szCs w:val="21"/>
              </w:rPr>
              <w:t>organizácii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 xml:space="preserve">́), </w:t>
            </w:r>
          </w:p>
          <w:p w14:paraId="57EE045E" w14:textId="641190E3" w:rsidR="0009486D" w:rsidRPr="00582FAC" w:rsidRDefault="006D2C07" w:rsidP="00F855C5">
            <w:pPr>
              <w:pStyle w:val="Normlnywebov"/>
              <w:numPr>
                <w:ilvl w:val="0"/>
                <w:numId w:val="15"/>
              </w:numPr>
              <w:spacing w:before="0" w:beforeAutospacing="0" w:after="0" w:afterAutospacing="0"/>
              <w:ind w:left="312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</w:rPr>
            </w:pPr>
            <w:r w:rsidRPr="00582FAC">
              <w:rPr>
                <w:rFonts w:asciiTheme="minorHAnsi" w:hAnsiTheme="minorHAnsi"/>
                <w:sz w:val="21"/>
                <w:szCs w:val="21"/>
              </w:rPr>
              <w:t xml:space="preserve">Spolupracuje s </w:t>
            </w:r>
            <w:r w:rsidR="00582FAC" w:rsidRPr="00582FAC">
              <w:rPr>
                <w:rFonts w:asciiTheme="minorHAnsi" w:hAnsiTheme="minorHAnsi"/>
                <w:sz w:val="21"/>
                <w:szCs w:val="21"/>
              </w:rPr>
              <w:t>programovým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582FAC" w:rsidRPr="00582FAC">
              <w:rPr>
                <w:rFonts w:asciiTheme="minorHAnsi" w:hAnsiTheme="minorHAnsi"/>
                <w:sz w:val="21"/>
                <w:szCs w:val="21"/>
              </w:rPr>
              <w:t>tímom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 xml:space="preserve"> KC</w:t>
            </w:r>
          </w:p>
        </w:tc>
        <w:tc>
          <w:tcPr>
            <w:tcW w:w="2693" w:type="dxa"/>
          </w:tcPr>
          <w:p w14:paraId="612A694E" w14:textId="03D00506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t>Vysokoškolské vzdelanie I.</w:t>
            </w:r>
            <w:r w:rsidR="00B00A93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t> </w:t>
            </w:r>
            <w:r w:rsidRPr="00582FAC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t>stupňa,</w:t>
            </w:r>
          </w:p>
          <w:p w14:paraId="3316C967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t>Odborná prax v dĺžke minimálne 1 rok</w:t>
            </w:r>
          </w:p>
        </w:tc>
      </w:tr>
      <w:tr w:rsidR="0009486D" w:rsidRPr="00582FAC" w14:paraId="4B66A6EB" w14:textId="77777777" w:rsidTr="00B00A93">
        <w:trPr>
          <w:trHeight w:val="10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09D015F1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bCs w:val="0"/>
                <w:sz w:val="21"/>
                <w:szCs w:val="21"/>
              </w:rPr>
            </w:pPr>
            <w:r w:rsidRPr="00582FAC">
              <w:rPr>
                <w:bCs w:val="0"/>
                <w:sz w:val="21"/>
                <w:szCs w:val="21"/>
              </w:rPr>
              <w:t>Asistent riaditeľa KC</w:t>
            </w:r>
          </w:p>
        </w:tc>
        <w:tc>
          <w:tcPr>
            <w:tcW w:w="4536" w:type="dxa"/>
          </w:tcPr>
          <w:p w14:paraId="0EE67673" w14:textId="77777777" w:rsidR="0009486D" w:rsidRPr="00B00A93" w:rsidRDefault="0009486D" w:rsidP="00F855C5">
            <w:pPr>
              <w:pStyle w:val="Normlnywebov"/>
              <w:numPr>
                <w:ilvl w:val="0"/>
                <w:numId w:val="15"/>
              </w:numPr>
              <w:spacing w:before="0" w:beforeAutospacing="0" w:after="0" w:afterAutospacing="0"/>
              <w:ind w:left="31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</w:rPr>
            </w:pPr>
            <w:r w:rsidRPr="00B00A93">
              <w:rPr>
                <w:rFonts w:asciiTheme="minorHAnsi" w:hAnsiTheme="minorHAnsi"/>
                <w:sz w:val="21"/>
                <w:szCs w:val="21"/>
              </w:rPr>
              <w:t>Vykonáva asistenciu riaditeľovi kreatívneho centra (napr. pripravuje podkladové materiály, zabezpečuje organizačno-technickú podporu v rámci hlavných aktivít projektu).</w:t>
            </w:r>
          </w:p>
        </w:tc>
        <w:tc>
          <w:tcPr>
            <w:tcW w:w="2693" w:type="dxa"/>
          </w:tcPr>
          <w:p w14:paraId="3A5AE096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</w:pPr>
            <w:r w:rsidRPr="00B00A93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t xml:space="preserve">Ukončené </w:t>
            </w:r>
            <w:r w:rsidRPr="00582FAC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t>minimálne úplné stredoškolské vzdelanie</w:t>
            </w:r>
          </w:p>
        </w:tc>
      </w:tr>
      <w:tr w:rsidR="0009486D" w:rsidRPr="00582FAC" w14:paraId="464CC2CA" w14:textId="77777777" w:rsidTr="00B00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3C1E69B3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bCs w:val="0"/>
                <w:sz w:val="21"/>
                <w:szCs w:val="21"/>
              </w:rPr>
            </w:pPr>
            <w:r w:rsidRPr="00582FAC">
              <w:rPr>
                <w:bCs w:val="0"/>
                <w:sz w:val="21"/>
                <w:szCs w:val="21"/>
              </w:rPr>
              <w:t>Expert - odborník junior</w:t>
            </w:r>
          </w:p>
        </w:tc>
        <w:tc>
          <w:tcPr>
            <w:tcW w:w="4536" w:type="dxa"/>
          </w:tcPr>
          <w:p w14:paraId="75C9DA2E" w14:textId="23AEAF71" w:rsidR="0009486D" w:rsidRPr="00B00A93" w:rsidRDefault="00582FAC" w:rsidP="00F855C5">
            <w:pPr>
              <w:pStyle w:val="Normlnywebov"/>
              <w:numPr>
                <w:ilvl w:val="0"/>
                <w:numId w:val="15"/>
              </w:numPr>
              <w:spacing w:before="0" w:beforeAutospacing="0" w:after="0" w:afterAutospacing="0"/>
              <w:ind w:left="312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</w:rPr>
            </w:pPr>
            <w:r w:rsidRPr="00B00A93">
              <w:rPr>
                <w:rFonts w:asciiTheme="minorHAnsi" w:hAnsiTheme="minorHAnsi"/>
                <w:sz w:val="21"/>
                <w:szCs w:val="21"/>
              </w:rPr>
              <w:t>vykonáva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činnosti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súvisiace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napr. s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 xml:space="preserve"> organizáciou 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(v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súvislosti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s odbornou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náplňou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),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odborným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 xml:space="preserve">vedením 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a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koordináciou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programov ako aj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zabezpečovaním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činnosti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KC s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využitím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existujúcich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analytických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,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metodických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,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procesných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materiálov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a postupov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vrátane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konzultačnej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, resp. školiteľskej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činnosti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(vo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 xml:space="preserve">vzťahu 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k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záujemcom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o účasť v programoch/účastníkom programov/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členov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KC)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.</w:t>
            </w:r>
          </w:p>
        </w:tc>
        <w:tc>
          <w:tcPr>
            <w:tcW w:w="2693" w:type="dxa"/>
          </w:tcPr>
          <w:p w14:paraId="5BC414F7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</w:pPr>
            <w:r w:rsidRPr="00B00A93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1F276B51" w14:textId="71428753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</w:pPr>
            <w:r w:rsidRPr="00B00A93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t>prax v príslušnom odbore minimálne 3 roky</w:t>
            </w:r>
          </w:p>
        </w:tc>
      </w:tr>
      <w:tr w:rsidR="0009486D" w:rsidRPr="00582FAC" w14:paraId="727D77ED" w14:textId="77777777" w:rsidTr="00B00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09D99A59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bCs w:val="0"/>
                <w:sz w:val="21"/>
                <w:szCs w:val="21"/>
              </w:rPr>
            </w:pPr>
            <w:r w:rsidRPr="00582FAC">
              <w:rPr>
                <w:bCs w:val="0"/>
                <w:sz w:val="21"/>
                <w:szCs w:val="21"/>
              </w:rPr>
              <w:t>Expert - odborník senior</w:t>
            </w:r>
          </w:p>
        </w:tc>
        <w:tc>
          <w:tcPr>
            <w:tcW w:w="4536" w:type="dxa"/>
          </w:tcPr>
          <w:p w14:paraId="7C030F70" w14:textId="4D998299" w:rsidR="0009486D" w:rsidRPr="00B00A93" w:rsidRDefault="0009486D" w:rsidP="00F855C5">
            <w:pPr>
              <w:pStyle w:val="Normlnywebov"/>
              <w:numPr>
                <w:ilvl w:val="0"/>
                <w:numId w:val="15"/>
              </w:numPr>
              <w:spacing w:before="0" w:beforeAutospacing="0" w:after="0" w:afterAutospacing="0"/>
              <w:ind w:left="31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</w:rPr>
            </w:pPr>
            <w:r w:rsidRPr="00B00A93">
              <w:rPr>
                <w:rFonts w:asciiTheme="minorHAnsi" w:hAnsiTheme="minorHAnsi"/>
                <w:sz w:val="21"/>
                <w:szCs w:val="21"/>
              </w:rPr>
              <w:t>vyko</w:t>
            </w:r>
            <w:r w:rsidR="00B00A93">
              <w:rPr>
                <w:rFonts w:asciiTheme="minorHAnsi" w:hAnsiTheme="minorHAnsi"/>
                <w:sz w:val="21"/>
                <w:szCs w:val="21"/>
              </w:rPr>
              <w:t>náva činnosti súvisiace napr. s 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 xml:space="preserve">organizáciou (v súvislosti s odbornou náplňou), odborným vedením a koordináciou programov ako aj s riadením činnosti kreatívneho centra ako celku a odborným vedením jeho pracovníkov s využitím existujúcich analytických, metodických, procesných materiálov a postupov vrátane konzultačnej, </w:t>
            </w:r>
            <w:r w:rsidR="00B00A93">
              <w:rPr>
                <w:rFonts w:asciiTheme="minorHAnsi" w:hAnsiTheme="minorHAnsi"/>
                <w:sz w:val="21"/>
                <w:szCs w:val="21"/>
              </w:rPr>
              <w:t>resp. školiteľskej činnosti (vo 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 xml:space="preserve">vzťahu k záujemcom o účasť v programoch / účastníkom programov / členom KC) </w:t>
            </w:r>
          </w:p>
          <w:p w14:paraId="2E9574C2" w14:textId="3A79C1B2" w:rsidR="0009486D" w:rsidRPr="00B00A93" w:rsidRDefault="0009486D" w:rsidP="00F855C5">
            <w:pPr>
              <w:pStyle w:val="Normlnywebov"/>
              <w:numPr>
                <w:ilvl w:val="0"/>
                <w:numId w:val="15"/>
              </w:numPr>
              <w:spacing w:before="0" w:beforeAutospacing="0" w:after="0" w:afterAutospacing="0"/>
              <w:ind w:left="31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</w:rPr>
            </w:pPr>
            <w:r w:rsidRPr="00B00A93">
              <w:rPr>
                <w:rFonts w:asciiTheme="minorHAnsi" w:hAnsiTheme="minorHAnsi"/>
                <w:sz w:val="21"/>
                <w:szCs w:val="21"/>
              </w:rPr>
              <w:t>Je zapojený do realizácie programov ako špecialista.</w:t>
            </w:r>
          </w:p>
        </w:tc>
        <w:tc>
          <w:tcPr>
            <w:tcW w:w="2693" w:type="dxa"/>
          </w:tcPr>
          <w:p w14:paraId="36ACF3C5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</w:pPr>
            <w:r w:rsidRPr="00B00A93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2B659121" w14:textId="1EEFD9DC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</w:pPr>
            <w:r w:rsidRPr="00B00A93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t>prax v príslušnom odbore minimálne 5 rokov</w:t>
            </w:r>
          </w:p>
        </w:tc>
      </w:tr>
      <w:tr w:rsidR="0009486D" w:rsidRPr="00582FAC" w14:paraId="5CF75B6D" w14:textId="77777777" w:rsidTr="00B00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526EB03D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bCs w:val="0"/>
                <w:sz w:val="21"/>
                <w:szCs w:val="21"/>
              </w:rPr>
            </w:pPr>
            <w:r w:rsidRPr="00582FAC">
              <w:rPr>
                <w:bCs w:val="0"/>
                <w:sz w:val="21"/>
                <w:szCs w:val="21"/>
              </w:rPr>
              <w:t>Expert 1</w:t>
            </w:r>
          </w:p>
        </w:tc>
        <w:tc>
          <w:tcPr>
            <w:tcW w:w="4536" w:type="dxa"/>
          </w:tcPr>
          <w:p w14:paraId="7B6BF8C9" w14:textId="55F92EAA" w:rsidR="0009486D" w:rsidRPr="00B00A93" w:rsidRDefault="0009486D" w:rsidP="00F855C5">
            <w:pPr>
              <w:pStyle w:val="Normlnywebov"/>
              <w:numPr>
                <w:ilvl w:val="0"/>
                <w:numId w:val="15"/>
              </w:numPr>
              <w:spacing w:before="0" w:beforeAutospacing="0" w:after="0" w:afterAutospacing="0"/>
              <w:ind w:left="312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</w:rPr>
            </w:pPr>
            <w:r w:rsidRPr="00B00A93">
              <w:rPr>
                <w:rFonts w:asciiTheme="minorHAnsi" w:hAnsiTheme="minorHAnsi"/>
                <w:sz w:val="21"/>
                <w:szCs w:val="21"/>
              </w:rPr>
              <w:t>Mimoriadne kvalifikovaný expert v</w:t>
            </w:r>
            <w:r w:rsidR="00B00A93" w:rsidRPr="00B00A93">
              <w:rPr>
                <w:rFonts w:asciiTheme="minorHAnsi" w:hAnsiTheme="minorHAnsi"/>
                <w:sz w:val="21"/>
                <w:szCs w:val="21"/>
              </w:rPr>
              <w:t> 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predmetnej oblasti – expert (napr. lektor / školiteľ / tréner / konzultant / mentor) samostatne vykonávajúci školiacu a konzultačnú činnosť, zodpovedný za návrh systémov a metodík, spracovávajúci odborné podkladové materiály a koncepcie s praxou v požadovanom odbore</w:t>
            </w:r>
          </w:p>
        </w:tc>
        <w:tc>
          <w:tcPr>
            <w:tcW w:w="2693" w:type="dxa"/>
          </w:tcPr>
          <w:p w14:paraId="7834350C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</w:pPr>
            <w:r w:rsidRPr="00B00A93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05E3FB48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</w:pPr>
            <w:r w:rsidRPr="00B00A93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t>prax v príslušnom odbore minimálne 8 rokov</w:t>
            </w:r>
          </w:p>
          <w:p w14:paraId="162BBE9E" w14:textId="77777777" w:rsidR="0009486D" w:rsidRPr="00B00A93" w:rsidRDefault="0009486D" w:rsidP="00F855C5">
            <w:pPr>
              <w:pStyle w:val="Odsekzoznamu"/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</w:pPr>
            <w:r w:rsidRPr="00B00A93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t>alebo</w:t>
            </w:r>
          </w:p>
          <w:p w14:paraId="5573F7D4" w14:textId="172652AE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</w:pPr>
            <w:r w:rsidRPr="00B00A93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t>prax v príslušnom odbore minimálne 13 rokov bez požiadavky vysokoškolského vzdelania</w:t>
            </w:r>
          </w:p>
        </w:tc>
      </w:tr>
      <w:tr w:rsidR="0009486D" w:rsidRPr="00582FAC" w14:paraId="5B2CE8E8" w14:textId="77777777" w:rsidTr="00B00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187B5584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bCs w:val="0"/>
                <w:sz w:val="21"/>
                <w:szCs w:val="21"/>
              </w:rPr>
            </w:pPr>
            <w:r w:rsidRPr="00582FAC">
              <w:rPr>
                <w:bCs w:val="0"/>
                <w:sz w:val="21"/>
                <w:szCs w:val="21"/>
              </w:rPr>
              <w:t>Expert 2</w:t>
            </w:r>
          </w:p>
        </w:tc>
        <w:tc>
          <w:tcPr>
            <w:tcW w:w="4536" w:type="dxa"/>
          </w:tcPr>
          <w:p w14:paraId="4E8C7887" w14:textId="410044E4" w:rsidR="0009486D" w:rsidRPr="00B00A93" w:rsidRDefault="00582FAC" w:rsidP="00F855C5">
            <w:pPr>
              <w:pStyle w:val="Normlnywebov"/>
              <w:numPr>
                <w:ilvl w:val="0"/>
                <w:numId w:val="15"/>
              </w:numPr>
              <w:spacing w:before="0" w:beforeAutospacing="0" w:after="0" w:afterAutospacing="0"/>
              <w:ind w:left="31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</w:rPr>
            </w:pPr>
            <w:r w:rsidRPr="00B00A93">
              <w:rPr>
                <w:rFonts w:asciiTheme="minorHAnsi" w:hAnsiTheme="minorHAnsi"/>
                <w:sz w:val="21"/>
                <w:szCs w:val="21"/>
              </w:rPr>
              <w:t>Líder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v predmetnej oblasti – expert (napr. lektor /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školiteľ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/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tréner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/ konzultant / mentor) pre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 xml:space="preserve">školiacu 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a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konzultačnú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činnosť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̌,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zodpovedný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za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návrh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systémov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a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metodik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,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lastRenderedPageBreak/>
              <w:t>spracovávajúci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odborné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podkladové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́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materiály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a koncepcie s praxou v </w:t>
            </w:r>
            <w:r w:rsidRPr="00B00A93">
              <w:rPr>
                <w:rFonts w:asciiTheme="minorHAnsi" w:hAnsiTheme="minorHAnsi"/>
                <w:sz w:val="21"/>
                <w:szCs w:val="21"/>
              </w:rPr>
              <w:t>požadovanom</w:t>
            </w:r>
            <w:r w:rsidR="006D2C07" w:rsidRPr="00B00A93">
              <w:rPr>
                <w:rFonts w:asciiTheme="minorHAnsi" w:hAnsiTheme="minorHAnsi"/>
                <w:sz w:val="21"/>
                <w:szCs w:val="21"/>
              </w:rPr>
              <w:t xml:space="preserve"> odbore. </w:t>
            </w:r>
          </w:p>
        </w:tc>
        <w:tc>
          <w:tcPr>
            <w:tcW w:w="2693" w:type="dxa"/>
          </w:tcPr>
          <w:p w14:paraId="7DF8A922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</w:pPr>
            <w:r w:rsidRPr="00B00A93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lastRenderedPageBreak/>
              <w:t>minimálne vysokoškolské vzdelanie II. stupňa</w:t>
            </w:r>
          </w:p>
          <w:p w14:paraId="477D723D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</w:pPr>
            <w:r w:rsidRPr="00B00A93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t>prax v príslušnom odbore minimálne 15 rokov</w:t>
            </w:r>
          </w:p>
          <w:p w14:paraId="329475CA" w14:textId="77777777" w:rsidR="0009486D" w:rsidRPr="00B00A93" w:rsidRDefault="0009486D" w:rsidP="00F855C5">
            <w:pPr>
              <w:pStyle w:val="Odsekzoznamu"/>
              <w:spacing w:before="120"/>
              <w:ind w:left="175" w:hanging="215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</w:pPr>
            <w:r w:rsidRPr="00B00A93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lastRenderedPageBreak/>
              <w:t>alebo</w:t>
            </w:r>
          </w:p>
          <w:p w14:paraId="77BE50C1" w14:textId="2C796398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</w:pPr>
            <w:r w:rsidRPr="00B00A93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sk-SK"/>
              </w:rPr>
              <w:t>prax v príslušnom odbore minimálne 20 rokov bez požiadavky vysokoškolského vzdelania</w:t>
            </w:r>
          </w:p>
        </w:tc>
      </w:tr>
      <w:tr w:rsidR="0009486D" w:rsidRPr="00582FAC" w14:paraId="536F75E0" w14:textId="77777777" w:rsidTr="00B00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64F00297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bCs w:val="0"/>
                <w:sz w:val="21"/>
                <w:szCs w:val="21"/>
              </w:rPr>
            </w:pPr>
            <w:r w:rsidRPr="00582FAC">
              <w:rPr>
                <w:bCs w:val="0"/>
                <w:sz w:val="21"/>
                <w:szCs w:val="21"/>
              </w:rPr>
              <w:lastRenderedPageBreak/>
              <w:t>Expert 3</w:t>
            </w:r>
          </w:p>
        </w:tc>
        <w:tc>
          <w:tcPr>
            <w:tcW w:w="4536" w:type="dxa"/>
          </w:tcPr>
          <w:p w14:paraId="66A053CA" w14:textId="77777777" w:rsidR="0009486D" w:rsidRPr="00582FAC" w:rsidRDefault="0009486D" w:rsidP="00F855C5">
            <w:pPr>
              <w:pStyle w:val="Default"/>
              <w:numPr>
                <w:ilvl w:val="0"/>
                <w:numId w:val="14"/>
              </w:numPr>
              <w:ind w:left="311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</w:rPr>
            </w:pPr>
            <w:r w:rsidRPr="00582FAC">
              <w:rPr>
                <w:rFonts w:asciiTheme="minorHAnsi" w:hAnsiTheme="minorHAnsi"/>
                <w:sz w:val="21"/>
                <w:szCs w:val="21"/>
                <w:u w:val="single"/>
              </w:rPr>
              <w:t>Zabezpečuje školiace služby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582FAC">
              <w:rPr>
                <w:rFonts w:asciiTheme="minorHAnsi" w:eastAsia="Times New Roman" w:hAnsiTheme="minorHAnsi" w:cs="Times New Roman"/>
                <w:sz w:val="21"/>
                <w:szCs w:val="21"/>
                <w:lang w:eastAsia="sk-SK"/>
              </w:rPr>
              <w:t>–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 xml:space="preserve"> napr. školenia, workshopy, programy v oblastiach preukázateľne potrebných pre realizáciu odborných aktivít projektu a pod.). </w:t>
            </w:r>
          </w:p>
          <w:p w14:paraId="3F78FF42" w14:textId="77777777" w:rsidR="0009486D" w:rsidRPr="00582FAC" w:rsidRDefault="0009486D" w:rsidP="00F855C5">
            <w:pPr>
              <w:pStyle w:val="Default"/>
              <w:numPr>
                <w:ilvl w:val="0"/>
                <w:numId w:val="14"/>
              </w:numPr>
              <w:ind w:left="311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  <w:u w:val="single"/>
              </w:rPr>
            </w:pPr>
            <w:r w:rsidRPr="00582FAC">
              <w:rPr>
                <w:rFonts w:asciiTheme="minorHAnsi" w:hAnsiTheme="minorHAnsi"/>
                <w:sz w:val="21"/>
                <w:szCs w:val="21"/>
                <w:u w:val="single"/>
              </w:rPr>
              <w:t>Poskytuje expertné a konzultačné služby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 xml:space="preserve"> preukázateľne potrebné pre realizáciu odborných aktivít projektu, napr. konzultácie / </w:t>
            </w:r>
            <w:proofErr w:type="spellStart"/>
            <w:r w:rsidRPr="00582FAC">
              <w:rPr>
                <w:rFonts w:asciiTheme="minorHAnsi" w:hAnsiTheme="minorHAnsi"/>
                <w:sz w:val="21"/>
                <w:szCs w:val="21"/>
              </w:rPr>
              <w:t>mentoring</w:t>
            </w:r>
            <w:proofErr w:type="spellEnd"/>
            <w:r w:rsidRPr="00582FAC">
              <w:rPr>
                <w:rFonts w:asciiTheme="minorHAnsi" w:hAnsiTheme="minorHAnsi"/>
                <w:sz w:val="21"/>
                <w:szCs w:val="21"/>
              </w:rPr>
              <w:t xml:space="preserve"> počas realizácie programov, právne poradenstvo a pod.).</w:t>
            </w:r>
          </w:p>
          <w:p w14:paraId="1FE5573A" w14:textId="1E604DC7" w:rsidR="0009486D" w:rsidRPr="00582FAC" w:rsidRDefault="0009486D" w:rsidP="00F855C5">
            <w:pPr>
              <w:pStyle w:val="Default"/>
              <w:numPr>
                <w:ilvl w:val="0"/>
                <w:numId w:val="14"/>
              </w:numPr>
              <w:ind w:left="311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  <w:u w:val="single"/>
              </w:rPr>
            </w:pPr>
            <w:r w:rsidRPr="00582FAC">
              <w:rPr>
                <w:rFonts w:asciiTheme="minorHAnsi" w:hAnsiTheme="minorHAnsi"/>
                <w:sz w:val="21"/>
                <w:szCs w:val="21"/>
              </w:rPr>
              <w:t>Môžu obsahovať služby slovenských aj zahraničných expertov (napr. lektor / školiteľ / tréner / konzultant / mentor) samostatne vykonávajúcich školiacu resp. konzultačnú činnosť, zodpovedný za návrh systémov a</w:t>
            </w:r>
            <w:r w:rsidR="00B00A93">
              <w:rPr>
                <w:rFonts w:asciiTheme="minorHAnsi" w:hAnsiTheme="minorHAnsi"/>
                <w:sz w:val="21"/>
                <w:szCs w:val="21"/>
              </w:rPr>
              <w:t> 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>metodík, spracovávajúci odborné podkladové materiály a koncepcie.</w:t>
            </w:r>
          </w:p>
          <w:p w14:paraId="1B664DBB" w14:textId="06FDDC8D" w:rsidR="0009486D" w:rsidRPr="00582FAC" w:rsidRDefault="0009486D" w:rsidP="00F855C5">
            <w:pPr>
              <w:pStyle w:val="Default"/>
              <w:numPr>
                <w:ilvl w:val="0"/>
                <w:numId w:val="14"/>
              </w:numPr>
              <w:ind w:left="311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</w:rPr>
            </w:pPr>
            <w:r w:rsidRPr="00582FAC">
              <w:rPr>
                <w:rFonts w:asciiTheme="minorHAnsi" w:hAnsiTheme="minorHAnsi"/>
                <w:sz w:val="21"/>
                <w:szCs w:val="21"/>
                <w:u w:val="single"/>
              </w:rPr>
              <w:t>Poskytuje špecializované IKT služby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 xml:space="preserve"> napr. súvisiace so zabezpečovaním podpory potrebnej pre prevádzku informačno-komunikačnej infraštruktúry, softvéru a</w:t>
            </w:r>
            <w:r w:rsidR="00B00A93">
              <w:rPr>
                <w:rFonts w:asciiTheme="minorHAnsi" w:hAnsiTheme="minorHAnsi"/>
                <w:sz w:val="21"/>
                <w:szCs w:val="21"/>
              </w:rPr>
              <w:t> </w:t>
            </w:r>
            <w:r w:rsidRPr="00582FAC">
              <w:rPr>
                <w:rFonts w:asciiTheme="minorHAnsi" w:hAnsiTheme="minorHAnsi"/>
                <w:sz w:val="21"/>
                <w:szCs w:val="21"/>
              </w:rPr>
              <w:t>aplikácií preukázateľne potrebných pre realizáciu projektu.</w:t>
            </w:r>
          </w:p>
        </w:tc>
        <w:tc>
          <w:tcPr>
            <w:tcW w:w="2693" w:type="dxa"/>
          </w:tcPr>
          <w:p w14:paraId="3EC0C118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03BC9E79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 xml:space="preserve">prax v príslušnom odbore minimálne 15 rokov </w:t>
            </w:r>
          </w:p>
          <w:p w14:paraId="761838E2" w14:textId="77777777" w:rsidR="0009486D" w:rsidRPr="00582FAC" w:rsidRDefault="0009486D" w:rsidP="00F855C5">
            <w:pPr>
              <w:pStyle w:val="Odsekzoznamu"/>
              <w:spacing w:before="120"/>
              <w:ind w:left="175" w:hanging="215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alebo</w:t>
            </w:r>
          </w:p>
          <w:p w14:paraId="503319BE" w14:textId="3E9E173D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 xml:space="preserve">prax v príslušnom odbore minimálne 20 rokov bez požiadavky </w:t>
            </w:r>
            <w:r w:rsidR="00582FAC"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vysokoškolského</w:t>
            </w: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 xml:space="preserve"> vzdelania</w:t>
            </w:r>
          </w:p>
        </w:tc>
      </w:tr>
      <w:tr w:rsidR="0009486D" w:rsidRPr="00582FAC" w14:paraId="03B127FB" w14:textId="77777777" w:rsidTr="00B00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7609E2C5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b w:val="0"/>
                <w:sz w:val="21"/>
                <w:szCs w:val="21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Riaditeľ KC</w:t>
            </w:r>
          </w:p>
        </w:tc>
        <w:tc>
          <w:tcPr>
            <w:tcW w:w="4536" w:type="dxa"/>
          </w:tcPr>
          <w:p w14:paraId="744D9BF2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ind w:left="311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582FAC">
              <w:rPr>
                <w:sz w:val="21"/>
                <w:szCs w:val="21"/>
              </w:rPr>
              <w:t>Zodpovedný za celkové riadenie a strategický rozvoj kreatívneho centra</w:t>
            </w:r>
          </w:p>
        </w:tc>
        <w:tc>
          <w:tcPr>
            <w:tcW w:w="2693" w:type="dxa"/>
          </w:tcPr>
          <w:p w14:paraId="606480D5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0AAF5734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5 rokov</w:t>
            </w:r>
          </w:p>
        </w:tc>
      </w:tr>
      <w:tr w:rsidR="0009486D" w:rsidRPr="00582FAC" w14:paraId="1947B8AB" w14:textId="77777777" w:rsidTr="00B00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435F408B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Správca budovy</w:t>
            </w:r>
          </w:p>
        </w:tc>
        <w:tc>
          <w:tcPr>
            <w:tcW w:w="4536" w:type="dxa"/>
          </w:tcPr>
          <w:p w14:paraId="383BFC1F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ind w:left="311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Zodpovedný za správu, údržbu a obnovu priestorov vo vlastníctve kreatívneho centra v súvislosti jeho s činnosťou</w:t>
            </w:r>
          </w:p>
        </w:tc>
        <w:tc>
          <w:tcPr>
            <w:tcW w:w="2693" w:type="dxa"/>
          </w:tcPr>
          <w:p w14:paraId="7044131E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stredoškolské vzdelanie s maturitou</w:t>
            </w:r>
          </w:p>
          <w:p w14:paraId="7E9E4847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2 roky</w:t>
            </w:r>
          </w:p>
        </w:tc>
      </w:tr>
      <w:tr w:rsidR="0009486D" w:rsidRPr="00582FAC" w14:paraId="74867D95" w14:textId="77777777" w:rsidTr="00B00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6F8428BF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Správca techniky</w:t>
            </w:r>
          </w:p>
        </w:tc>
        <w:tc>
          <w:tcPr>
            <w:tcW w:w="4536" w:type="dxa"/>
          </w:tcPr>
          <w:p w14:paraId="3C1C232B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ind w:left="311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Zodpovedný za správu, údržbu a obnovu technológií vo vlastníctve kreatívneho centra v súvislosti jeho s činnosťou</w:t>
            </w:r>
          </w:p>
        </w:tc>
        <w:tc>
          <w:tcPr>
            <w:tcW w:w="2693" w:type="dxa"/>
          </w:tcPr>
          <w:p w14:paraId="1E7E0529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stredoškolské vzdelanie s maturitou</w:t>
            </w:r>
          </w:p>
          <w:p w14:paraId="6398B5E2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2 roky</w:t>
            </w:r>
          </w:p>
        </w:tc>
      </w:tr>
      <w:tr w:rsidR="0009486D" w:rsidRPr="00582FAC" w14:paraId="7F771139" w14:textId="77777777" w:rsidTr="00B00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668CBF34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Programový riaditeľ</w:t>
            </w:r>
          </w:p>
        </w:tc>
        <w:tc>
          <w:tcPr>
            <w:tcW w:w="4536" w:type="dxa"/>
          </w:tcPr>
          <w:p w14:paraId="40901451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582FAC">
              <w:rPr>
                <w:sz w:val="21"/>
                <w:szCs w:val="21"/>
              </w:rPr>
              <w:t>Zodpovedný za riadenie kreatívneho centra</w:t>
            </w:r>
          </w:p>
          <w:p w14:paraId="72684CE0" w14:textId="50BBC226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582FAC">
              <w:rPr>
                <w:sz w:val="21"/>
                <w:szCs w:val="21"/>
              </w:rPr>
              <w:t>Zodpovedá za strategické riadenie programového obsahu poskytovaného v</w:t>
            </w:r>
            <w:r w:rsidR="00B00A93">
              <w:rPr>
                <w:sz w:val="21"/>
                <w:szCs w:val="21"/>
              </w:rPr>
              <w:t xml:space="preserve"> KC</w:t>
            </w:r>
          </w:p>
        </w:tc>
        <w:tc>
          <w:tcPr>
            <w:tcW w:w="2693" w:type="dxa"/>
          </w:tcPr>
          <w:p w14:paraId="265A2B55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6C3D1C64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5 rokov</w:t>
            </w:r>
          </w:p>
        </w:tc>
      </w:tr>
      <w:tr w:rsidR="0009486D" w:rsidRPr="00582FAC" w14:paraId="03F16337" w14:textId="77777777" w:rsidTr="00B00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15DCC34D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Manažér pre programy KC</w:t>
            </w:r>
          </w:p>
        </w:tc>
        <w:tc>
          <w:tcPr>
            <w:tcW w:w="4536" w:type="dxa"/>
          </w:tcPr>
          <w:p w14:paraId="513D23BC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Zodpovedný za prípravu a organizáciu programov kreatívneho centra</w:t>
            </w:r>
          </w:p>
        </w:tc>
        <w:tc>
          <w:tcPr>
            <w:tcW w:w="2693" w:type="dxa"/>
          </w:tcPr>
          <w:p w14:paraId="3190B711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17CBE3DD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3 roky</w:t>
            </w:r>
          </w:p>
        </w:tc>
      </w:tr>
      <w:tr w:rsidR="0009486D" w:rsidRPr="00582FAC" w14:paraId="01B7C782" w14:textId="77777777" w:rsidTr="00B00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5E77E4DC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Manažér pre expertné a konzultačné služby</w:t>
            </w:r>
          </w:p>
        </w:tc>
        <w:tc>
          <w:tcPr>
            <w:tcW w:w="4536" w:type="dxa"/>
          </w:tcPr>
          <w:p w14:paraId="3893A862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Zodpovedný za podporu pri zabezpečení expertných služieb pri realizácii programov KC</w:t>
            </w:r>
          </w:p>
        </w:tc>
        <w:tc>
          <w:tcPr>
            <w:tcW w:w="2693" w:type="dxa"/>
          </w:tcPr>
          <w:p w14:paraId="13AF96FD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52402427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3 roky</w:t>
            </w:r>
          </w:p>
        </w:tc>
      </w:tr>
      <w:tr w:rsidR="0009486D" w:rsidRPr="00582FAC" w14:paraId="60CD02D3" w14:textId="77777777" w:rsidTr="00B00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026D89D1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lastRenderedPageBreak/>
              <w:t>Koordinátor vzťahov s členmi KC</w:t>
            </w:r>
          </w:p>
        </w:tc>
        <w:tc>
          <w:tcPr>
            <w:tcW w:w="4536" w:type="dxa"/>
          </w:tcPr>
          <w:p w14:paraId="3F4CC443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Zodpovedný za koordináciu vzťahov s členmi KC a záujemcami o účasť v programoch KC</w:t>
            </w:r>
          </w:p>
        </w:tc>
        <w:tc>
          <w:tcPr>
            <w:tcW w:w="2693" w:type="dxa"/>
          </w:tcPr>
          <w:p w14:paraId="7F1204B0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714AE200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3 roky</w:t>
            </w:r>
          </w:p>
        </w:tc>
      </w:tr>
      <w:tr w:rsidR="0009486D" w:rsidRPr="00582FAC" w14:paraId="67D59393" w14:textId="77777777" w:rsidTr="00B00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33F236FD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Koordinátor logistiky pre programy KC</w:t>
            </w:r>
          </w:p>
        </w:tc>
        <w:tc>
          <w:tcPr>
            <w:tcW w:w="4536" w:type="dxa"/>
          </w:tcPr>
          <w:p w14:paraId="6E3455AF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Zodpovedný za logistickú podporu pri realizácii programov kreatívneho centra</w:t>
            </w:r>
          </w:p>
        </w:tc>
        <w:tc>
          <w:tcPr>
            <w:tcW w:w="2693" w:type="dxa"/>
          </w:tcPr>
          <w:p w14:paraId="68C8093E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5D17744D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3 roky</w:t>
            </w:r>
          </w:p>
        </w:tc>
      </w:tr>
      <w:tr w:rsidR="0009486D" w:rsidRPr="00582FAC" w14:paraId="18D023CF" w14:textId="77777777" w:rsidTr="00B00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078B53EF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Web administrátor / správca IT systémov</w:t>
            </w:r>
          </w:p>
        </w:tc>
        <w:tc>
          <w:tcPr>
            <w:tcW w:w="4536" w:type="dxa"/>
          </w:tcPr>
          <w:p w14:paraId="071FB006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582FAC">
              <w:rPr>
                <w:sz w:val="21"/>
                <w:szCs w:val="21"/>
              </w:rPr>
              <w:t>Manažovanie prevádzky webovej stránky/aplikácie v organizácií v súvislosti s kreatívnym centrom,</w:t>
            </w:r>
          </w:p>
          <w:p w14:paraId="65B0927F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582FAC">
              <w:rPr>
                <w:sz w:val="21"/>
                <w:szCs w:val="21"/>
              </w:rPr>
              <w:t xml:space="preserve"> spravovanie obsahu internetových aplikácií, administrácia web stránky a pod. </w:t>
            </w:r>
          </w:p>
        </w:tc>
        <w:tc>
          <w:tcPr>
            <w:tcW w:w="2693" w:type="dxa"/>
          </w:tcPr>
          <w:p w14:paraId="41F0F471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53DE78E1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3 roky</w:t>
            </w:r>
          </w:p>
        </w:tc>
      </w:tr>
      <w:tr w:rsidR="0009486D" w:rsidRPr="00582FAC" w14:paraId="44710339" w14:textId="77777777" w:rsidTr="00B00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03FA8E66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Riaditeľ pre rozvoj</w:t>
            </w:r>
          </w:p>
        </w:tc>
        <w:tc>
          <w:tcPr>
            <w:tcW w:w="4536" w:type="dxa"/>
          </w:tcPr>
          <w:p w14:paraId="3E359C7F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582FAC">
              <w:rPr>
                <w:sz w:val="21"/>
                <w:szCs w:val="21"/>
              </w:rPr>
              <w:t>Zodpovedný za strategické riadenie partnerstiev,  marketingových a rozvojových aktivít kreatívneho centra</w:t>
            </w:r>
          </w:p>
        </w:tc>
        <w:tc>
          <w:tcPr>
            <w:tcW w:w="2693" w:type="dxa"/>
          </w:tcPr>
          <w:p w14:paraId="29C18BE1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0120051E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5 rokov</w:t>
            </w:r>
          </w:p>
        </w:tc>
      </w:tr>
      <w:tr w:rsidR="0009486D" w:rsidRPr="00582FAC" w14:paraId="164196FE" w14:textId="77777777" w:rsidTr="00B00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3E958BCF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b w:val="0"/>
                <w:bCs w:val="0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Marketingový manažér</w:t>
            </w:r>
          </w:p>
        </w:tc>
        <w:tc>
          <w:tcPr>
            <w:tcW w:w="4536" w:type="dxa"/>
          </w:tcPr>
          <w:p w14:paraId="34699ABD" w14:textId="4A8C5C44" w:rsidR="002802A4" w:rsidRPr="00582FAC" w:rsidRDefault="002802A4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582FAC">
              <w:rPr>
                <w:sz w:val="21"/>
                <w:szCs w:val="21"/>
              </w:rPr>
              <w:t xml:space="preserve">Podpora pri strategickom </w:t>
            </w:r>
            <w:r w:rsidR="00582FAC" w:rsidRPr="00582FAC">
              <w:rPr>
                <w:sz w:val="21"/>
                <w:szCs w:val="21"/>
              </w:rPr>
              <w:t>nastavení</w:t>
            </w:r>
            <w:r w:rsidRPr="00582FAC">
              <w:rPr>
                <w:sz w:val="21"/>
                <w:szCs w:val="21"/>
              </w:rPr>
              <w:t xml:space="preserve"> marketingovej </w:t>
            </w:r>
            <w:r w:rsidR="00582FAC" w:rsidRPr="00582FAC">
              <w:rPr>
                <w:sz w:val="21"/>
                <w:szCs w:val="21"/>
              </w:rPr>
              <w:t>komunikácie</w:t>
            </w:r>
            <w:r w:rsidRPr="00582FAC">
              <w:rPr>
                <w:sz w:val="21"/>
                <w:szCs w:val="21"/>
              </w:rPr>
              <w:t xml:space="preserve"> KC </w:t>
            </w:r>
          </w:p>
          <w:p w14:paraId="526211C3" w14:textId="0024950D" w:rsidR="002802A4" w:rsidRPr="00582FAC" w:rsidRDefault="00582FAC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582FAC">
              <w:rPr>
                <w:sz w:val="21"/>
                <w:szCs w:val="21"/>
              </w:rPr>
              <w:t>Zabezpečenie</w:t>
            </w:r>
            <w:r w:rsidR="002802A4" w:rsidRPr="00582FAC">
              <w:rPr>
                <w:sz w:val="21"/>
                <w:szCs w:val="21"/>
              </w:rPr>
              <w:t xml:space="preserve"> </w:t>
            </w:r>
            <w:r w:rsidRPr="00582FAC">
              <w:rPr>
                <w:sz w:val="21"/>
                <w:szCs w:val="21"/>
              </w:rPr>
              <w:t>komunikačných</w:t>
            </w:r>
            <w:r w:rsidR="002802A4" w:rsidRPr="00582FAC">
              <w:rPr>
                <w:sz w:val="21"/>
                <w:szCs w:val="21"/>
              </w:rPr>
              <w:t xml:space="preserve"> a </w:t>
            </w:r>
            <w:r w:rsidRPr="00582FAC">
              <w:rPr>
                <w:sz w:val="21"/>
                <w:szCs w:val="21"/>
              </w:rPr>
              <w:t>marketingových</w:t>
            </w:r>
            <w:r w:rsidR="002802A4" w:rsidRPr="00582FAC">
              <w:rPr>
                <w:sz w:val="21"/>
                <w:szCs w:val="21"/>
              </w:rPr>
              <w:t xml:space="preserve"> </w:t>
            </w:r>
            <w:r w:rsidRPr="00582FAC">
              <w:rPr>
                <w:sz w:val="21"/>
                <w:szCs w:val="21"/>
              </w:rPr>
              <w:t>aktivít</w:t>
            </w:r>
            <w:r w:rsidR="002802A4" w:rsidRPr="00582FAC">
              <w:rPr>
                <w:sz w:val="21"/>
                <w:szCs w:val="21"/>
              </w:rPr>
              <w:t xml:space="preserve"> </w:t>
            </w:r>
            <w:r w:rsidRPr="00582FAC">
              <w:rPr>
                <w:sz w:val="21"/>
                <w:szCs w:val="21"/>
              </w:rPr>
              <w:t>súvisiacich</w:t>
            </w:r>
            <w:r w:rsidR="002802A4" w:rsidRPr="00582FAC">
              <w:rPr>
                <w:sz w:val="21"/>
                <w:szCs w:val="21"/>
              </w:rPr>
              <w:t xml:space="preserve"> s </w:t>
            </w:r>
            <w:proofErr w:type="spellStart"/>
            <w:r w:rsidR="002802A4" w:rsidRPr="00582FAC">
              <w:rPr>
                <w:sz w:val="21"/>
                <w:szCs w:val="21"/>
              </w:rPr>
              <w:t>činnosťou</w:t>
            </w:r>
            <w:proofErr w:type="spellEnd"/>
            <w:r w:rsidR="002802A4" w:rsidRPr="00582FAC">
              <w:rPr>
                <w:sz w:val="21"/>
                <w:szCs w:val="21"/>
              </w:rPr>
              <w:t xml:space="preserve"> </w:t>
            </w:r>
            <w:r w:rsidRPr="00582FAC">
              <w:rPr>
                <w:sz w:val="21"/>
                <w:szCs w:val="21"/>
              </w:rPr>
              <w:t>kreatívneho</w:t>
            </w:r>
            <w:r w:rsidR="002802A4" w:rsidRPr="00582FAC">
              <w:rPr>
                <w:sz w:val="21"/>
                <w:szCs w:val="21"/>
              </w:rPr>
              <w:t xml:space="preserve"> centra</w:t>
            </w:r>
            <w:r>
              <w:rPr>
                <w:sz w:val="21"/>
                <w:szCs w:val="21"/>
              </w:rPr>
              <w:t xml:space="preserve"> </w:t>
            </w:r>
            <w:r w:rsidR="002802A4" w:rsidRPr="00582FAC">
              <w:rPr>
                <w:sz w:val="21"/>
                <w:szCs w:val="21"/>
              </w:rPr>
              <w:t xml:space="preserve">a </w:t>
            </w:r>
            <w:proofErr w:type="spellStart"/>
            <w:r w:rsidR="002802A4" w:rsidRPr="00582FAC">
              <w:rPr>
                <w:sz w:val="21"/>
                <w:szCs w:val="21"/>
              </w:rPr>
              <w:t>komunikácia</w:t>
            </w:r>
            <w:proofErr w:type="spellEnd"/>
            <w:r w:rsidR="002802A4" w:rsidRPr="00582FAC">
              <w:rPr>
                <w:sz w:val="21"/>
                <w:szCs w:val="21"/>
              </w:rPr>
              <w:t xml:space="preserve"> s </w:t>
            </w:r>
            <w:r w:rsidRPr="00582FAC">
              <w:rPr>
                <w:sz w:val="21"/>
                <w:szCs w:val="21"/>
              </w:rPr>
              <w:t>dodávateľmi</w:t>
            </w:r>
            <w:r w:rsidR="002802A4" w:rsidRPr="00582FAC">
              <w:rPr>
                <w:sz w:val="21"/>
                <w:szCs w:val="21"/>
              </w:rPr>
              <w:t xml:space="preserve"> </w:t>
            </w:r>
            <w:r w:rsidRPr="00582FAC">
              <w:rPr>
                <w:sz w:val="21"/>
                <w:szCs w:val="21"/>
              </w:rPr>
              <w:t>marketingového</w:t>
            </w:r>
            <w:r w:rsidR="002802A4" w:rsidRPr="00582FAC">
              <w:rPr>
                <w:sz w:val="21"/>
                <w:szCs w:val="21"/>
              </w:rPr>
              <w:t xml:space="preserve"> obsahu </w:t>
            </w:r>
          </w:p>
          <w:p w14:paraId="6FC74A9B" w14:textId="63696711" w:rsidR="0009486D" w:rsidRPr="00582FAC" w:rsidRDefault="00582FAC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582FAC">
              <w:rPr>
                <w:sz w:val="21"/>
                <w:szCs w:val="21"/>
              </w:rPr>
              <w:t>Príprava</w:t>
            </w:r>
            <w:r w:rsidR="002802A4" w:rsidRPr="00582FAC">
              <w:rPr>
                <w:sz w:val="21"/>
                <w:szCs w:val="21"/>
              </w:rPr>
              <w:t xml:space="preserve"> podkladov pre tvorbu </w:t>
            </w:r>
            <w:r w:rsidRPr="00582FAC">
              <w:rPr>
                <w:sz w:val="21"/>
                <w:szCs w:val="21"/>
              </w:rPr>
              <w:t>rozpočtu</w:t>
            </w:r>
            <w:r w:rsidR="002802A4" w:rsidRPr="00582FAC">
              <w:rPr>
                <w:sz w:val="21"/>
                <w:szCs w:val="21"/>
              </w:rPr>
              <w:t xml:space="preserve"> na </w:t>
            </w:r>
            <w:r w:rsidRPr="00582FAC">
              <w:rPr>
                <w:sz w:val="21"/>
                <w:szCs w:val="21"/>
              </w:rPr>
              <w:t>marketingové</w:t>
            </w:r>
            <w:r w:rsidR="002802A4" w:rsidRPr="00582FAC">
              <w:rPr>
                <w:sz w:val="21"/>
                <w:szCs w:val="21"/>
              </w:rPr>
              <w:t xml:space="preserve">́ aktivity v </w:t>
            </w:r>
            <w:r w:rsidRPr="00582FAC">
              <w:rPr>
                <w:sz w:val="21"/>
                <w:szCs w:val="21"/>
              </w:rPr>
              <w:t>súvislosti</w:t>
            </w:r>
            <w:r w:rsidR="002802A4" w:rsidRPr="00582FAC">
              <w:rPr>
                <w:sz w:val="21"/>
                <w:szCs w:val="21"/>
              </w:rPr>
              <w:t xml:space="preserve"> s </w:t>
            </w:r>
            <w:r w:rsidRPr="00582FAC">
              <w:rPr>
                <w:sz w:val="21"/>
                <w:szCs w:val="21"/>
              </w:rPr>
              <w:t>riadením</w:t>
            </w:r>
            <w:r w:rsidR="002802A4" w:rsidRPr="00582FAC">
              <w:rPr>
                <w:sz w:val="21"/>
                <w:szCs w:val="21"/>
              </w:rPr>
              <w:t xml:space="preserve"> </w:t>
            </w:r>
            <w:r w:rsidRPr="00582FAC">
              <w:rPr>
                <w:sz w:val="21"/>
                <w:szCs w:val="21"/>
              </w:rPr>
              <w:t>kreatívneho</w:t>
            </w:r>
            <w:r w:rsidR="002802A4" w:rsidRPr="00582FAC">
              <w:rPr>
                <w:sz w:val="21"/>
                <w:szCs w:val="21"/>
              </w:rPr>
              <w:t xml:space="preserve"> centra, monitoring a </w:t>
            </w:r>
            <w:proofErr w:type="spellStart"/>
            <w:r w:rsidR="002802A4" w:rsidRPr="00582FAC">
              <w:rPr>
                <w:sz w:val="21"/>
                <w:szCs w:val="21"/>
              </w:rPr>
              <w:t>reporting</w:t>
            </w:r>
            <w:proofErr w:type="spellEnd"/>
            <w:r w:rsidR="002802A4" w:rsidRPr="00582FAC">
              <w:rPr>
                <w:sz w:val="21"/>
                <w:szCs w:val="21"/>
              </w:rPr>
              <w:t xml:space="preserve"> </w:t>
            </w:r>
            <w:r w:rsidRPr="00582FAC">
              <w:rPr>
                <w:sz w:val="21"/>
                <w:szCs w:val="21"/>
              </w:rPr>
              <w:t>prezentačných</w:t>
            </w:r>
            <w:r>
              <w:rPr>
                <w:sz w:val="21"/>
                <w:szCs w:val="21"/>
              </w:rPr>
              <w:t xml:space="preserve"> </w:t>
            </w:r>
            <w:r w:rsidR="002802A4" w:rsidRPr="00582FAC">
              <w:rPr>
                <w:sz w:val="21"/>
                <w:szCs w:val="21"/>
              </w:rPr>
              <w:t xml:space="preserve">a </w:t>
            </w:r>
            <w:r w:rsidRPr="00582FAC">
              <w:rPr>
                <w:sz w:val="21"/>
                <w:szCs w:val="21"/>
              </w:rPr>
              <w:t>komunikačných</w:t>
            </w:r>
            <w:r w:rsidR="002802A4" w:rsidRPr="00582FAC">
              <w:rPr>
                <w:sz w:val="21"/>
                <w:szCs w:val="21"/>
              </w:rPr>
              <w:t xml:space="preserve"> </w:t>
            </w:r>
            <w:proofErr w:type="spellStart"/>
            <w:r w:rsidR="002802A4" w:rsidRPr="00582FAC">
              <w:rPr>
                <w:sz w:val="21"/>
                <w:szCs w:val="21"/>
              </w:rPr>
              <w:t>aktivít</w:t>
            </w:r>
            <w:proofErr w:type="spellEnd"/>
            <w:r w:rsidR="002802A4" w:rsidRPr="00582FAC">
              <w:rPr>
                <w:sz w:val="21"/>
                <w:szCs w:val="21"/>
              </w:rPr>
              <w:t xml:space="preserve"> KC </w:t>
            </w:r>
          </w:p>
        </w:tc>
        <w:tc>
          <w:tcPr>
            <w:tcW w:w="2693" w:type="dxa"/>
          </w:tcPr>
          <w:p w14:paraId="4B85FE17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6E7193D7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3 roky</w:t>
            </w:r>
          </w:p>
        </w:tc>
      </w:tr>
      <w:tr w:rsidR="0009486D" w:rsidRPr="00582FAC" w14:paraId="7802464E" w14:textId="77777777" w:rsidTr="00B00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6D4A59B9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 špecialista</w:t>
            </w:r>
          </w:p>
        </w:tc>
        <w:tc>
          <w:tcPr>
            <w:tcW w:w="4536" w:type="dxa"/>
          </w:tcPr>
          <w:p w14:paraId="58610B09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582FAC">
              <w:rPr>
                <w:sz w:val="21"/>
                <w:szCs w:val="21"/>
              </w:rPr>
              <w:t>Podieľanie sa na implementácii PR kampaní, návrh a realizácia kampaní a špeciálnych projektov pre potenciálnych a existujúcich klientov v súvislosti s prezentáciou kreatívneho centra</w:t>
            </w:r>
          </w:p>
        </w:tc>
        <w:tc>
          <w:tcPr>
            <w:tcW w:w="2693" w:type="dxa"/>
          </w:tcPr>
          <w:p w14:paraId="1DF149CA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4CA884FA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3 roky</w:t>
            </w:r>
          </w:p>
        </w:tc>
      </w:tr>
      <w:tr w:rsidR="0009486D" w:rsidRPr="00582FAC" w14:paraId="276A9026" w14:textId="77777777" w:rsidTr="00B00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0A50163A" w14:textId="77777777" w:rsidR="0009486D" w:rsidRPr="00582FAC" w:rsidRDefault="0009486D" w:rsidP="00F855C5">
            <w:pPr>
              <w:rPr>
                <w:rFonts w:asciiTheme="minorHAnsi" w:hAnsiTheme="minorHAnsi"/>
                <w:color w:val="000000"/>
                <w:sz w:val="21"/>
                <w:szCs w:val="21"/>
                <w:lang w:eastAsia="sk-SK"/>
              </w:rPr>
            </w:pPr>
            <w:proofErr w:type="spellStart"/>
            <w:r w:rsidRPr="00582FAC">
              <w:rPr>
                <w:rFonts w:asciiTheme="minorHAnsi" w:hAnsiTheme="minorHAnsi"/>
                <w:color w:val="000000"/>
                <w:sz w:val="21"/>
                <w:szCs w:val="21"/>
                <w:lang w:eastAsia="sk-SK"/>
              </w:rPr>
              <w:t>Fundraisor</w:t>
            </w:r>
            <w:proofErr w:type="spellEnd"/>
            <w:r w:rsidRPr="00582FAC">
              <w:rPr>
                <w:rFonts w:asciiTheme="minorHAnsi" w:hAnsiTheme="minorHAnsi"/>
                <w:color w:val="000000"/>
                <w:sz w:val="21"/>
                <w:szCs w:val="21"/>
                <w:lang w:eastAsia="sk-SK"/>
              </w:rPr>
              <w:t>/</w:t>
            </w:r>
          </w:p>
          <w:p w14:paraId="3D715429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Koordinátor partnerstiev</w:t>
            </w:r>
          </w:p>
        </w:tc>
        <w:tc>
          <w:tcPr>
            <w:tcW w:w="4536" w:type="dxa"/>
          </w:tcPr>
          <w:p w14:paraId="3FB67F5D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Zodpovedný za koordináciu neformálnych partnerstiev, rozvojových projektov a </w:t>
            </w:r>
            <w:proofErr w:type="spellStart"/>
            <w:r w:rsidRPr="00B00A93">
              <w:rPr>
                <w:sz w:val="21"/>
                <w:szCs w:val="21"/>
              </w:rPr>
              <w:t>fundraisingových</w:t>
            </w:r>
            <w:proofErr w:type="spellEnd"/>
            <w:r w:rsidRPr="00B00A93">
              <w:rPr>
                <w:sz w:val="21"/>
                <w:szCs w:val="21"/>
              </w:rPr>
              <w:t xml:space="preserve"> aktivít</w:t>
            </w:r>
          </w:p>
        </w:tc>
        <w:tc>
          <w:tcPr>
            <w:tcW w:w="2693" w:type="dxa"/>
          </w:tcPr>
          <w:p w14:paraId="5740DDCA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6E896167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3 roky</w:t>
            </w:r>
          </w:p>
        </w:tc>
      </w:tr>
      <w:tr w:rsidR="0009486D" w:rsidRPr="00582FAC" w14:paraId="73CA0F1F" w14:textId="77777777" w:rsidTr="00B00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3E28D2A7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Finančný riaditeľ</w:t>
            </w:r>
          </w:p>
        </w:tc>
        <w:tc>
          <w:tcPr>
            <w:tcW w:w="4536" w:type="dxa"/>
          </w:tcPr>
          <w:p w14:paraId="3F262A22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582FAC">
              <w:rPr>
                <w:sz w:val="21"/>
                <w:szCs w:val="21"/>
              </w:rPr>
              <w:t>Zodpovedný za celkové finančné riadenie kreatívneho centra</w:t>
            </w:r>
          </w:p>
        </w:tc>
        <w:tc>
          <w:tcPr>
            <w:tcW w:w="2693" w:type="dxa"/>
          </w:tcPr>
          <w:p w14:paraId="362B2F8C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31CBD57E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5 rokov</w:t>
            </w:r>
          </w:p>
        </w:tc>
      </w:tr>
      <w:tr w:rsidR="0009486D" w:rsidRPr="00582FAC" w14:paraId="6AE35399" w14:textId="77777777" w:rsidTr="00B00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29B31BFD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Účtovník</w:t>
            </w:r>
          </w:p>
        </w:tc>
        <w:tc>
          <w:tcPr>
            <w:tcW w:w="4536" w:type="dxa"/>
          </w:tcPr>
          <w:p w14:paraId="574578F9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Zodpovedný za vedenie účtovníctva</w:t>
            </w:r>
          </w:p>
        </w:tc>
        <w:tc>
          <w:tcPr>
            <w:tcW w:w="2693" w:type="dxa"/>
          </w:tcPr>
          <w:p w14:paraId="1F3ECDEA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stredoškolské vzdelanie s maturitou</w:t>
            </w:r>
          </w:p>
          <w:p w14:paraId="476E3B3C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2 roky</w:t>
            </w:r>
          </w:p>
        </w:tc>
      </w:tr>
      <w:tr w:rsidR="0009486D" w:rsidRPr="00582FAC" w14:paraId="0FDB54AB" w14:textId="77777777" w:rsidTr="00B00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2E0AF684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Personalista</w:t>
            </w:r>
          </w:p>
        </w:tc>
        <w:tc>
          <w:tcPr>
            <w:tcW w:w="4536" w:type="dxa"/>
          </w:tcPr>
          <w:p w14:paraId="759FE903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Zodpovedný za vedenie personálnej agendy</w:t>
            </w:r>
          </w:p>
        </w:tc>
        <w:tc>
          <w:tcPr>
            <w:tcW w:w="2693" w:type="dxa"/>
          </w:tcPr>
          <w:p w14:paraId="12BB07BC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stredoškolské vzdelanie s maturitou</w:t>
            </w:r>
          </w:p>
          <w:p w14:paraId="2C2483A6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2 roky</w:t>
            </w:r>
          </w:p>
        </w:tc>
      </w:tr>
      <w:tr w:rsidR="0009486D" w:rsidRPr="00582FAC" w14:paraId="27344C1F" w14:textId="77777777" w:rsidTr="00B00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6C4BE408" w14:textId="2F4C5C86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Právny poradca</w:t>
            </w:r>
          </w:p>
        </w:tc>
        <w:tc>
          <w:tcPr>
            <w:tcW w:w="4536" w:type="dxa"/>
          </w:tcPr>
          <w:p w14:paraId="355C72DB" w14:textId="19570AFC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582FAC">
              <w:rPr>
                <w:sz w:val="21"/>
                <w:szCs w:val="21"/>
              </w:rPr>
              <w:t xml:space="preserve">Vykonáva činnosti súvisiace s poskytovaním právneho poradenstva s využitím existujúcich analytických, metodických, procesných materiálov a postupov, klientom KC. </w:t>
            </w:r>
          </w:p>
        </w:tc>
        <w:tc>
          <w:tcPr>
            <w:tcW w:w="2693" w:type="dxa"/>
          </w:tcPr>
          <w:p w14:paraId="36AEFB40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71E988DC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3 rokov</w:t>
            </w:r>
          </w:p>
        </w:tc>
      </w:tr>
      <w:tr w:rsidR="0009486D" w:rsidRPr="00582FAC" w14:paraId="20D19C55" w14:textId="77777777" w:rsidTr="00B00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20060222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lastRenderedPageBreak/>
              <w:t>Projektový manažér</w:t>
            </w:r>
          </w:p>
        </w:tc>
        <w:tc>
          <w:tcPr>
            <w:tcW w:w="4536" w:type="dxa"/>
          </w:tcPr>
          <w:p w14:paraId="218C9590" w14:textId="45DF4404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 xml:space="preserve">Riadi aktivity projektu a celkovú administráciu a implementáciu projektu na všetkých úrovniach, </w:t>
            </w:r>
          </w:p>
          <w:p w14:paraId="29528C88" w14:textId="677522D3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Koord</w:t>
            </w:r>
            <w:r w:rsidR="00B00A93">
              <w:rPr>
                <w:sz w:val="21"/>
                <w:szCs w:val="21"/>
              </w:rPr>
              <w:t>inuje všetky činnosti spojené s </w:t>
            </w:r>
            <w:r w:rsidRPr="00B00A93">
              <w:rPr>
                <w:sz w:val="21"/>
                <w:szCs w:val="21"/>
              </w:rPr>
              <w:t xml:space="preserve">realizáciou aktivít projektu, </w:t>
            </w:r>
          </w:p>
          <w:p w14:paraId="5EE6015D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 xml:space="preserve">Koordinuje činnosť odborného personálu, </w:t>
            </w:r>
          </w:p>
          <w:p w14:paraId="38CF4353" w14:textId="13C5EC58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Zabezpečuje komunikáciu medzi riadiacimi, administratívnymi a odbornými kapacitami projektu,</w:t>
            </w:r>
          </w:p>
          <w:p w14:paraId="02568845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Sleduje právne predpisy SR a EK, usmernenia a pokyny poskytovateľa súvisiace s čerpaním fondov EÚ,</w:t>
            </w:r>
          </w:p>
          <w:p w14:paraId="4CB66C9F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Kontroluje napĺňanie merateľných ukazovateľov projektu a iných údajov,</w:t>
            </w:r>
          </w:p>
          <w:p w14:paraId="0D71FA64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Kontroluje priebeh projektových aktivít</w:t>
            </w:r>
          </w:p>
        </w:tc>
        <w:tc>
          <w:tcPr>
            <w:tcW w:w="2693" w:type="dxa"/>
          </w:tcPr>
          <w:p w14:paraId="689F84A6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7B0C4575" w14:textId="6ABEC5B9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5 rokov</w:t>
            </w:r>
          </w:p>
        </w:tc>
      </w:tr>
      <w:tr w:rsidR="0009486D" w:rsidRPr="00582FAC" w14:paraId="28D9E624" w14:textId="77777777" w:rsidTr="00B00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2467220D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Asistent projektového manažéra</w:t>
            </w:r>
          </w:p>
        </w:tc>
        <w:tc>
          <w:tcPr>
            <w:tcW w:w="4536" w:type="dxa"/>
          </w:tcPr>
          <w:p w14:paraId="239216E7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Administruje podklady k monitorovaniu, komunikuje s cieľovou skupinou projektu a ostatnými osobami a inštitúciami zapojenými do realizácie aktivít projektu alebo dotknutých realizáciou aktivít projektu a zbiera podklady od cieľovej skupiny</w:t>
            </w:r>
          </w:p>
        </w:tc>
        <w:tc>
          <w:tcPr>
            <w:tcW w:w="2693" w:type="dxa"/>
          </w:tcPr>
          <w:p w14:paraId="36856F04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B00A93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stredoškolské vzdelanie s maturitou</w:t>
            </w:r>
          </w:p>
          <w:p w14:paraId="0D8B020A" w14:textId="03555355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B00A93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1 rok</w:t>
            </w:r>
          </w:p>
        </w:tc>
      </w:tr>
      <w:tr w:rsidR="0009486D" w:rsidRPr="00582FAC" w14:paraId="1D4EC803" w14:textId="77777777" w:rsidTr="00B00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314CEC07" w14:textId="15D45C17" w:rsidR="0009486D" w:rsidRPr="00B00A93" w:rsidRDefault="0009486D" w:rsidP="00F855C5">
            <w:pPr>
              <w:rPr>
                <w:rFonts w:asciiTheme="minorHAnsi" w:hAnsiTheme="minorHAnsi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asciiTheme="minorHAnsi" w:hAnsiTheme="minorHAnsi"/>
                <w:color w:val="000000"/>
                <w:sz w:val="21"/>
                <w:szCs w:val="21"/>
                <w:lang w:eastAsia="sk-SK"/>
              </w:rPr>
              <w:t>Manažér pre monitorovanie, informovanosť a</w:t>
            </w:r>
            <w:r w:rsidR="00B00A93">
              <w:rPr>
                <w:rFonts w:asciiTheme="minorHAnsi" w:hAnsiTheme="minorHAnsi"/>
                <w:color w:val="000000"/>
                <w:sz w:val="21"/>
                <w:szCs w:val="21"/>
                <w:lang w:eastAsia="sk-SK"/>
              </w:rPr>
              <w:t> </w:t>
            </w:r>
            <w:r w:rsidRPr="00B00A93">
              <w:rPr>
                <w:rFonts w:asciiTheme="minorHAnsi" w:hAnsiTheme="minorHAnsi"/>
                <w:color w:val="000000"/>
                <w:sz w:val="21"/>
                <w:szCs w:val="21"/>
                <w:lang w:eastAsia="sk-SK"/>
              </w:rPr>
              <w:t>komunikáciu</w:t>
            </w:r>
          </w:p>
        </w:tc>
        <w:tc>
          <w:tcPr>
            <w:tcW w:w="4536" w:type="dxa"/>
          </w:tcPr>
          <w:p w14:paraId="6F079A4A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Komunikuje s cieľovou skupinou a zbiera podklady od cieľovej skupiny.</w:t>
            </w:r>
          </w:p>
          <w:p w14:paraId="11B6E93E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 xml:space="preserve"> Spracúva podklady pre monitorovanie, archivuje dokumentáciu o realizácii aktivít a ich monitorovania na základe podkladov, </w:t>
            </w:r>
          </w:p>
          <w:p w14:paraId="311EB9C7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spracováva monitorovacie správy,</w:t>
            </w:r>
          </w:p>
          <w:p w14:paraId="02C9E15C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Pripravuje, riadi a zodpovedá za prezentáciu projektu, zodpovedá za externú komunikáciu projektu a napĺňanie plánu publicity</w:t>
            </w:r>
          </w:p>
        </w:tc>
        <w:tc>
          <w:tcPr>
            <w:tcW w:w="2693" w:type="dxa"/>
          </w:tcPr>
          <w:p w14:paraId="15D746A3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4CEC38E0" w14:textId="67471C39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3 roky</w:t>
            </w:r>
          </w:p>
        </w:tc>
      </w:tr>
      <w:tr w:rsidR="0009486D" w:rsidRPr="00582FAC" w14:paraId="44B03C5D" w14:textId="77777777" w:rsidTr="00B00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725BDE5F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Finančný manažér projektu</w:t>
            </w:r>
          </w:p>
        </w:tc>
        <w:tc>
          <w:tcPr>
            <w:tcW w:w="4536" w:type="dxa"/>
          </w:tcPr>
          <w:p w14:paraId="496EE70F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Zodpovedá za celkové finančné riadenie pri implementácii projektu. Zabezpečuje dodržiavanie rozpočtu projektu v súlade so Zmluvou o NFP a platnou legislatívou SR.</w:t>
            </w:r>
          </w:p>
          <w:p w14:paraId="3EA310BA" w14:textId="7DC500A2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Dohliada na efektívne využívanie finančných prostriedkov a oprávnenosť použitých výdavkov)</w:t>
            </w:r>
          </w:p>
        </w:tc>
        <w:tc>
          <w:tcPr>
            <w:tcW w:w="2693" w:type="dxa"/>
          </w:tcPr>
          <w:p w14:paraId="10C58717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0F3022B5" w14:textId="7C7F2C3B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5 rokov</w:t>
            </w:r>
          </w:p>
        </w:tc>
      </w:tr>
      <w:tr w:rsidR="0009486D" w:rsidRPr="00582FAC" w14:paraId="2F77F3CE" w14:textId="77777777" w:rsidTr="00B00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3808A7FB" w14:textId="77777777" w:rsidR="0009486D" w:rsidRPr="00582FAC" w:rsidRDefault="0009486D" w:rsidP="00F855C5">
            <w:pPr>
              <w:pStyle w:val="Odsekzoznamu"/>
              <w:ind w:left="0"/>
              <w:contextualSpacing w:val="0"/>
              <w:jc w:val="left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Špecialista na verejné obstarávanie</w:t>
            </w:r>
          </w:p>
        </w:tc>
        <w:tc>
          <w:tcPr>
            <w:tcW w:w="4536" w:type="dxa"/>
          </w:tcPr>
          <w:p w14:paraId="3F212D1D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312" w:hanging="284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B00A93">
              <w:rPr>
                <w:sz w:val="21"/>
                <w:szCs w:val="21"/>
              </w:rPr>
              <w:t>Realizuje a vypracováva opis predmetu zákazky a zabezpečuje realizáciu všetkých foriem VO</w:t>
            </w:r>
          </w:p>
        </w:tc>
        <w:tc>
          <w:tcPr>
            <w:tcW w:w="2693" w:type="dxa"/>
          </w:tcPr>
          <w:p w14:paraId="76CC7EB5" w14:textId="77777777" w:rsidR="0009486D" w:rsidRPr="00582FAC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minimálne vysokoškolské vzdelanie II. stupňa</w:t>
            </w:r>
          </w:p>
          <w:p w14:paraId="1E25E968" w14:textId="77777777" w:rsidR="0009486D" w:rsidRPr="00B00A93" w:rsidRDefault="0009486D" w:rsidP="00F855C5">
            <w:pPr>
              <w:pStyle w:val="Odsekzoznamu"/>
              <w:numPr>
                <w:ilvl w:val="0"/>
                <w:numId w:val="14"/>
              </w:numPr>
              <w:spacing w:after="0"/>
              <w:ind w:left="175" w:hanging="21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</w:pPr>
            <w:r w:rsidRPr="00582FAC">
              <w:rPr>
                <w:rFonts w:eastAsia="Times New Roman" w:cs="Times New Roman"/>
                <w:color w:val="000000"/>
                <w:sz w:val="21"/>
                <w:szCs w:val="21"/>
                <w:lang w:eastAsia="sk-SK"/>
              </w:rPr>
              <w:t>prax v príslušnom odbore minimálne 5 rokov</w:t>
            </w:r>
          </w:p>
        </w:tc>
      </w:tr>
    </w:tbl>
    <w:p w14:paraId="4B574CAC" w14:textId="77777777" w:rsidR="0009486D" w:rsidRDefault="0009486D" w:rsidP="00F855C5"/>
    <w:sectPr w:rsidR="0009486D" w:rsidSect="00F855C5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97BD9" w14:textId="77777777" w:rsidR="005017DB" w:rsidRDefault="005017DB" w:rsidP="0029591D">
      <w:r>
        <w:separator/>
      </w:r>
    </w:p>
  </w:endnote>
  <w:endnote w:type="continuationSeparator" w:id="0">
    <w:p w14:paraId="32433539" w14:textId="77777777" w:rsidR="005017DB" w:rsidRDefault="005017DB" w:rsidP="00295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035E6" w14:textId="77777777" w:rsidR="005017DB" w:rsidRDefault="005017DB" w:rsidP="0029591D">
      <w:r>
        <w:separator/>
      </w:r>
    </w:p>
  </w:footnote>
  <w:footnote w:type="continuationSeparator" w:id="0">
    <w:p w14:paraId="08E2820B" w14:textId="77777777" w:rsidR="005017DB" w:rsidRDefault="005017DB" w:rsidP="0029591D">
      <w:r>
        <w:continuationSeparator/>
      </w:r>
    </w:p>
  </w:footnote>
  <w:footnote w:id="1">
    <w:p w14:paraId="1CD821C5" w14:textId="4A993729" w:rsidR="00B00A93" w:rsidRDefault="00B00A93" w:rsidP="00E45A82">
      <w:pPr>
        <w:pStyle w:val="footnotedescription"/>
        <w:jc w:val="both"/>
      </w:pPr>
      <w:r>
        <w:rPr>
          <w:rStyle w:val="footnotemark"/>
        </w:rPr>
        <w:footnoteRef/>
      </w:r>
      <w:r>
        <w:t xml:space="preserve"> </w:t>
      </w:r>
      <w:r>
        <w:tab/>
        <w:t xml:space="preserve">Povinný pri projektoch slúžiacich na financovanie infraštruktúry alebo stavebných činností a celkovej výške NFP nad 500 000,-  EUR </w:t>
      </w:r>
    </w:p>
  </w:footnote>
  <w:footnote w:id="2">
    <w:p w14:paraId="2A94428F" w14:textId="0016F0C6" w:rsidR="00B00A93" w:rsidRPr="00E45A82" w:rsidRDefault="00B00A93" w:rsidP="00E45A82">
      <w:pPr>
        <w:pStyle w:val="footnotedescription"/>
        <w:jc w:val="both"/>
        <w:rPr>
          <w:rStyle w:val="footnotemark"/>
          <w:vertAlign w:val="baseline"/>
        </w:rPr>
      </w:pPr>
      <w:r>
        <w:rPr>
          <w:rStyle w:val="footnotemark"/>
        </w:rPr>
        <w:footnoteRef/>
      </w:r>
      <w:r w:rsidRPr="00E45A82">
        <w:rPr>
          <w:rStyle w:val="footnotemark"/>
        </w:rPr>
        <w:t xml:space="preserve"> </w:t>
      </w:r>
      <w:r>
        <w:rPr>
          <w:rStyle w:val="footnotemark"/>
        </w:rPr>
        <w:tab/>
      </w:r>
      <w:r w:rsidRPr="00E45A82">
        <w:rPr>
          <w:rStyle w:val="footnotemark"/>
          <w:vertAlign w:val="baseline"/>
        </w:rPr>
        <w:t xml:space="preserve">Povinná pri projektoch spočívajúcich v zakúpení fyzického objektu alebo vo financovaní infraštruktúry alebo stavebných činností a celkovej výške NFP nad 500 000,- EUR </w:t>
      </w:r>
    </w:p>
  </w:footnote>
  <w:footnote w:id="3">
    <w:p w14:paraId="14CA2013" w14:textId="0B1F9DCC" w:rsidR="00B00A93" w:rsidRPr="00E45A82" w:rsidRDefault="00B00A93" w:rsidP="00E45A82">
      <w:pPr>
        <w:pStyle w:val="footnotedescription"/>
        <w:jc w:val="both"/>
        <w:rPr>
          <w:rStyle w:val="footnotemark"/>
        </w:rPr>
      </w:pPr>
      <w:r>
        <w:rPr>
          <w:rStyle w:val="footnotemark"/>
        </w:rPr>
        <w:footnoteRef/>
      </w:r>
      <w:r w:rsidRPr="00E45A82">
        <w:rPr>
          <w:rStyle w:val="footnotemark"/>
        </w:rPr>
        <w:t xml:space="preserve"> </w:t>
      </w:r>
      <w:r>
        <w:rPr>
          <w:rStyle w:val="footnotemark"/>
        </w:rPr>
        <w:tab/>
      </w:r>
      <w:r w:rsidRPr="00E45A82">
        <w:rPr>
          <w:rStyle w:val="footnotemark"/>
          <w:vertAlign w:val="baseline"/>
        </w:rPr>
        <w:t>Povinný pri projektoch, na ktoré sa nevzťahuje povinnosť osadenia veľkoplošného pútača a vyvesenia stálej tabule veľkosti min. A3</w:t>
      </w:r>
      <w:r w:rsidRPr="00E45A82">
        <w:rPr>
          <w:rStyle w:val="footnotemark"/>
        </w:rPr>
        <w:t xml:space="preserve"> </w:t>
      </w:r>
    </w:p>
  </w:footnote>
  <w:footnote w:id="4">
    <w:p w14:paraId="293D2E41" w14:textId="56F5419F" w:rsidR="00B00A93" w:rsidRPr="00E45A82" w:rsidRDefault="00B00A93" w:rsidP="00E45A82">
      <w:pPr>
        <w:pStyle w:val="footnotedescription"/>
        <w:jc w:val="both"/>
        <w:rPr>
          <w:rStyle w:val="footnotemark"/>
        </w:rPr>
      </w:pPr>
      <w:r>
        <w:rPr>
          <w:rStyle w:val="footnotemark"/>
        </w:rPr>
        <w:footnoteRef/>
      </w:r>
      <w:r w:rsidRPr="00E45A82">
        <w:rPr>
          <w:rStyle w:val="footnotemark"/>
        </w:rPr>
        <w:t xml:space="preserve"> </w:t>
      </w:r>
      <w:r>
        <w:rPr>
          <w:rStyle w:val="footnotemark"/>
        </w:rPr>
        <w:tab/>
      </w:r>
      <w:r w:rsidRPr="00E45A82">
        <w:rPr>
          <w:rStyle w:val="footnotemark"/>
          <w:vertAlign w:val="baseline"/>
        </w:rPr>
        <w:t>V prípade osoby, ktorá pracuje na projekte na základe dohody o práce vykonávanej mimo pracovného pomeru (mimo pracovným pomerom sa rozumejú vzťahy uzatvorené v zmysle ustanovení Zákonníka práce).</w:t>
      </w:r>
      <w:r w:rsidRPr="00E45A82">
        <w:rPr>
          <w:rStyle w:val="footnotemark"/>
        </w:rPr>
        <w:t xml:space="preserve"> </w:t>
      </w:r>
    </w:p>
  </w:footnote>
  <w:footnote w:id="5">
    <w:p w14:paraId="2B2433AE" w14:textId="569A1F59" w:rsidR="00B00A93" w:rsidRPr="00E45A82" w:rsidRDefault="00B00A93" w:rsidP="00E45A82">
      <w:pPr>
        <w:pStyle w:val="footnotedescription"/>
        <w:jc w:val="both"/>
        <w:rPr>
          <w:rStyle w:val="footnotemark"/>
        </w:rPr>
      </w:pPr>
      <w:r>
        <w:rPr>
          <w:rStyle w:val="footnotemark"/>
        </w:rPr>
        <w:footnoteRef/>
      </w:r>
      <w:r w:rsidRPr="00E45A82">
        <w:rPr>
          <w:rStyle w:val="footnotemark"/>
        </w:rPr>
        <w:t xml:space="preserve"> </w:t>
      </w:r>
      <w:r>
        <w:rPr>
          <w:rStyle w:val="footnotemark"/>
        </w:rPr>
        <w:tab/>
      </w:r>
      <w:r w:rsidRPr="00E45A82">
        <w:rPr>
          <w:rStyle w:val="footnotemark"/>
          <w:vertAlign w:val="baseline"/>
        </w:rPr>
        <w:t>Hodinou sa rozumie 60 minút.</w:t>
      </w:r>
      <w:r w:rsidRPr="00E45A82">
        <w:rPr>
          <w:rStyle w:val="footnotemark"/>
        </w:rPr>
        <w:t xml:space="preserve">  </w:t>
      </w:r>
    </w:p>
  </w:footnote>
  <w:footnote w:id="6">
    <w:p w14:paraId="26DF594D" w14:textId="71B1715F" w:rsidR="00B00A93" w:rsidRPr="00E45A82" w:rsidRDefault="00B00A93" w:rsidP="00E45A82">
      <w:pPr>
        <w:pStyle w:val="footnotedescription"/>
        <w:jc w:val="both"/>
        <w:rPr>
          <w:rStyle w:val="footnotemark"/>
        </w:rPr>
      </w:pPr>
      <w:r>
        <w:rPr>
          <w:rStyle w:val="footnotemark"/>
        </w:rPr>
        <w:footnoteRef/>
      </w:r>
      <w:r w:rsidRPr="00E45A82">
        <w:rPr>
          <w:rStyle w:val="footnotemark"/>
        </w:rPr>
        <w:t xml:space="preserve"> </w:t>
      </w:r>
      <w:r>
        <w:rPr>
          <w:rStyle w:val="footnotemark"/>
        </w:rPr>
        <w:tab/>
      </w:r>
      <w:r w:rsidRPr="00E45A82">
        <w:rPr>
          <w:rStyle w:val="footnotemark"/>
          <w:vertAlign w:val="baseline"/>
        </w:rPr>
        <w:t>Limit platí pre osobu, ktorá pracuje na projekte na základe pracovného pomeru. Uvedený finančný limit sa aplikuje v prípade tzv. plného (100%) pracovného úväzku na projekte (v prípade pracovného pomeru na kratší pracovný čas, resp. pri výkone pracovných činností na viacerých projektoch financovaných z EŠIF, sa finančný limit uplatní v pomernej výške).</w:t>
      </w:r>
      <w:r w:rsidRPr="00E45A82">
        <w:rPr>
          <w:rStyle w:val="footnotemark"/>
        </w:rPr>
        <w:t xml:space="preserve"> </w:t>
      </w:r>
    </w:p>
  </w:footnote>
  <w:footnote w:id="7">
    <w:p w14:paraId="6171B690" w14:textId="3F5733C3" w:rsidR="00B00A93" w:rsidRPr="00E45A82" w:rsidRDefault="00B00A93" w:rsidP="00E45A82">
      <w:pPr>
        <w:pStyle w:val="footnotedescription"/>
        <w:jc w:val="both"/>
        <w:rPr>
          <w:rStyle w:val="footnotemark"/>
        </w:rPr>
      </w:pPr>
      <w:r>
        <w:rPr>
          <w:rStyle w:val="footnotemark"/>
        </w:rPr>
        <w:footnoteRef/>
      </w:r>
      <w:r w:rsidRPr="00E45A82">
        <w:rPr>
          <w:rStyle w:val="footnotemark"/>
        </w:rPr>
        <w:t xml:space="preserve"> </w:t>
      </w:r>
      <w:r>
        <w:rPr>
          <w:rStyle w:val="footnotemark"/>
        </w:rPr>
        <w:tab/>
      </w:r>
      <w:r w:rsidRPr="00E45A82">
        <w:rPr>
          <w:rStyle w:val="footnotemark"/>
          <w:vertAlign w:val="baseline"/>
        </w:rPr>
        <w:t>Oprávneným výdavkom je odplata za poskytnuté služby na základe Obchodného, resp. Občianskeho zákonníka (v EUR/hodina) ohraničená uvedeným finančným limitom.</w:t>
      </w:r>
      <w:r w:rsidRPr="00E45A82">
        <w:rPr>
          <w:rStyle w:val="footnotemark"/>
        </w:rPr>
        <w:t xml:space="preserve"> </w:t>
      </w:r>
    </w:p>
  </w:footnote>
  <w:footnote w:id="8">
    <w:p w14:paraId="6275991D" w14:textId="0F698933" w:rsidR="00B00A93" w:rsidRDefault="00B00A93" w:rsidP="00E45A82">
      <w:pPr>
        <w:pStyle w:val="footnotedescription"/>
        <w:jc w:val="both"/>
      </w:pPr>
      <w:r>
        <w:rPr>
          <w:rStyle w:val="footnotemark"/>
        </w:rPr>
        <w:footnoteRef/>
      </w:r>
      <w:r w:rsidRPr="00E45A82">
        <w:rPr>
          <w:rStyle w:val="footnotemark"/>
        </w:rPr>
        <w:t xml:space="preserve"> </w:t>
      </w:r>
      <w:r>
        <w:rPr>
          <w:rStyle w:val="footnotemark"/>
        </w:rPr>
        <w:tab/>
      </w:r>
      <w:r w:rsidRPr="00E45A82">
        <w:rPr>
          <w:rStyle w:val="footnotemark"/>
          <w:vertAlign w:val="baseline"/>
        </w:rPr>
        <w:t>Hodinou sa rozumie 60 minút.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E5088" w14:textId="1625FA11" w:rsidR="00B00A93" w:rsidRDefault="00B00A93">
    <w:pPr>
      <w:pStyle w:val="Hlavika"/>
    </w:pPr>
    <w:r>
      <w:t>Príloha č. 14 Limity oprávnených výdavkov a m</w:t>
    </w:r>
    <w:r w:rsidRPr="00E45A82">
      <w:t>inimálne kvalifikačné a odborné predpoklady pre jednotlivé</w:t>
    </w:r>
    <w:r>
      <w:t xml:space="preserve"> pracovné pozície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D8B055D4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64B7557"/>
    <w:multiLevelType w:val="hybridMultilevel"/>
    <w:tmpl w:val="BB16D9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869EB"/>
    <w:multiLevelType w:val="hybridMultilevel"/>
    <w:tmpl w:val="64AA37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05398"/>
    <w:multiLevelType w:val="hybridMultilevel"/>
    <w:tmpl w:val="743ED6C2"/>
    <w:lvl w:ilvl="0" w:tplc="4E8239CA">
      <w:start w:val="1"/>
      <w:numFmt w:val="bullet"/>
      <w:lvlText w:val="•"/>
      <w:lvlJc w:val="left"/>
      <w:pPr>
        <w:ind w:left="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2E96C8">
      <w:start w:val="1"/>
      <w:numFmt w:val="bullet"/>
      <w:lvlText w:val="o"/>
      <w:lvlJc w:val="left"/>
      <w:pPr>
        <w:ind w:left="1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04659E">
      <w:start w:val="1"/>
      <w:numFmt w:val="bullet"/>
      <w:lvlText w:val="▪"/>
      <w:lvlJc w:val="left"/>
      <w:pPr>
        <w:ind w:left="19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90CEEE">
      <w:start w:val="1"/>
      <w:numFmt w:val="bullet"/>
      <w:lvlText w:val="•"/>
      <w:lvlJc w:val="left"/>
      <w:pPr>
        <w:ind w:left="2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5E4746">
      <w:start w:val="1"/>
      <w:numFmt w:val="bullet"/>
      <w:lvlText w:val="o"/>
      <w:lvlJc w:val="left"/>
      <w:pPr>
        <w:ind w:left="3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6CEEF4">
      <w:start w:val="1"/>
      <w:numFmt w:val="bullet"/>
      <w:lvlText w:val="▪"/>
      <w:lvlJc w:val="left"/>
      <w:pPr>
        <w:ind w:left="4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ECF142">
      <w:start w:val="1"/>
      <w:numFmt w:val="bullet"/>
      <w:lvlText w:val="•"/>
      <w:lvlJc w:val="left"/>
      <w:pPr>
        <w:ind w:left="4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66BEE2">
      <w:start w:val="1"/>
      <w:numFmt w:val="bullet"/>
      <w:lvlText w:val="o"/>
      <w:lvlJc w:val="left"/>
      <w:pPr>
        <w:ind w:left="5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642670">
      <w:start w:val="1"/>
      <w:numFmt w:val="bullet"/>
      <w:lvlText w:val="▪"/>
      <w:lvlJc w:val="left"/>
      <w:pPr>
        <w:ind w:left="6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3910956"/>
    <w:multiLevelType w:val="hybridMultilevel"/>
    <w:tmpl w:val="FBA82A10"/>
    <w:lvl w:ilvl="0" w:tplc="2FCE4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D778D4"/>
    <w:multiLevelType w:val="hybridMultilevel"/>
    <w:tmpl w:val="67163F86"/>
    <w:lvl w:ilvl="0" w:tplc="5E066C8C">
      <w:start w:val="1"/>
      <w:numFmt w:val="bullet"/>
      <w:lvlText w:val="•"/>
      <w:lvlJc w:val="left"/>
      <w:pPr>
        <w:ind w:left="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12350E">
      <w:start w:val="1"/>
      <w:numFmt w:val="bullet"/>
      <w:lvlText w:val="o"/>
      <w:lvlJc w:val="left"/>
      <w:pPr>
        <w:ind w:left="12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6A2B14">
      <w:start w:val="1"/>
      <w:numFmt w:val="bullet"/>
      <w:lvlText w:val="▪"/>
      <w:lvlJc w:val="left"/>
      <w:pPr>
        <w:ind w:left="20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6C9566">
      <w:start w:val="1"/>
      <w:numFmt w:val="bullet"/>
      <w:lvlText w:val="•"/>
      <w:lvlJc w:val="left"/>
      <w:pPr>
        <w:ind w:left="2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47CCE">
      <w:start w:val="1"/>
      <w:numFmt w:val="bullet"/>
      <w:lvlText w:val="o"/>
      <w:lvlJc w:val="left"/>
      <w:pPr>
        <w:ind w:left="34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F48A72">
      <w:start w:val="1"/>
      <w:numFmt w:val="bullet"/>
      <w:lvlText w:val="▪"/>
      <w:lvlJc w:val="left"/>
      <w:pPr>
        <w:ind w:left="41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AC7172">
      <w:start w:val="1"/>
      <w:numFmt w:val="bullet"/>
      <w:lvlText w:val="•"/>
      <w:lvlJc w:val="left"/>
      <w:pPr>
        <w:ind w:left="4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7EF10A">
      <w:start w:val="1"/>
      <w:numFmt w:val="bullet"/>
      <w:lvlText w:val="o"/>
      <w:lvlJc w:val="left"/>
      <w:pPr>
        <w:ind w:left="56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4EE256">
      <w:start w:val="1"/>
      <w:numFmt w:val="bullet"/>
      <w:lvlText w:val="▪"/>
      <w:lvlJc w:val="left"/>
      <w:pPr>
        <w:ind w:left="63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456CED"/>
    <w:multiLevelType w:val="hybridMultilevel"/>
    <w:tmpl w:val="168AF32E"/>
    <w:lvl w:ilvl="0" w:tplc="BD8882E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BE373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6A89C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902C8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D89E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F03C6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3AC0F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DE6A3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3E534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EC26A7E"/>
    <w:multiLevelType w:val="hybridMultilevel"/>
    <w:tmpl w:val="6CDA6A7C"/>
    <w:lvl w:ilvl="0" w:tplc="780A95C8">
      <w:start w:val="1"/>
      <w:numFmt w:val="bullet"/>
      <w:lvlText w:val="•"/>
      <w:lvlJc w:val="left"/>
      <w:pPr>
        <w:ind w:left="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F47EE4">
      <w:start w:val="1"/>
      <w:numFmt w:val="bullet"/>
      <w:lvlText w:val="o"/>
      <w:lvlJc w:val="left"/>
      <w:pPr>
        <w:ind w:left="12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70CEB2">
      <w:start w:val="1"/>
      <w:numFmt w:val="bullet"/>
      <w:lvlText w:val="▪"/>
      <w:lvlJc w:val="left"/>
      <w:pPr>
        <w:ind w:left="20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7609AA">
      <w:start w:val="1"/>
      <w:numFmt w:val="bullet"/>
      <w:lvlText w:val="•"/>
      <w:lvlJc w:val="left"/>
      <w:pPr>
        <w:ind w:left="2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304D70">
      <w:start w:val="1"/>
      <w:numFmt w:val="bullet"/>
      <w:lvlText w:val="o"/>
      <w:lvlJc w:val="left"/>
      <w:pPr>
        <w:ind w:left="34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213D2">
      <w:start w:val="1"/>
      <w:numFmt w:val="bullet"/>
      <w:lvlText w:val="▪"/>
      <w:lvlJc w:val="left"/>
      <w:pPr>
        <w:ind w:left="41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F0329A">
      <w:start w:val="1"/>
      <w:numFmt w:val="bullet"/>
      <w:lvlText w:val="•"/>
      <w:lvlJc w:val="left"/>
      <w:pPr>
        <w:ind w:left="4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00D624">
      <w:start w:val="1"/>
      <w:numFmt w:val="bullet"/>
      <w:lvlText w:val="o"/>
      <w:lvlJc w:val="left"/>
      <w:pPr>
        <w:ind w:left="56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3EE29A">
      <w:start w:val="1"/>
      <w:numFmt w:val="bullet"/>
      <w:lvlText w:val="▪"/>
      <w:lvlJc w:val="left"/>
      <w:pPr>
        <w:ind w:left="63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7B055B"/>
    <w:multiLevelType w:val="multilevel"/>
    <w:tmpl w:val="6D2C8F1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32"/>
        <w:szCs w:val="32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8BC24C1"/>
    <w:multiLevelType w:val="hybridMultilevel"/>
    <w:tmpl w:val="509C03E0"/>
    <w:lvl w:ilvl="0" w:tplc="2326F5BA">
      <w:start w:val="1"/>
      <w:numFmt w:val="bullet"/>
      <w:lvlText w:val="•"/>
      <w:lvlJc w:val="left"/>
      <w:pPr>
        <w:ind w:left="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806C08">
      <w:start w:val="1"/>
      <w:numFmt w:val="bullet"/>
      <w:lvlText w:val="o"/>
      <w:lvlJc w:val="left"/>
      <w:pPr>
        <w:ind w:left="1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F248F2">
      <w:start w:val="1"/>
      <w:numFmt w:val="bullet"/>
      <w:lvlText w:val="▪"/>
      <w:lvlJc w:val="left"/>
      <w:pPr>
        <w:ind w:left="19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8A094A">
      <w:start w:val="1"/>
      <w:numFmt w:val="bullet"/>
      <w:lvlText w:val="•"/>
      <w:lvlJc w:val="left"/>
      <w:pPr>
        <w:ind w:left="2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228D12">
      <w:start w:val="1"/>
      <w:numFmt w:val="bullet"/>
      <w:lvlText w:val="o"/>
      <w:lvlJc w:val="left"/>
      <w:pPr>
        <w:ind w:left="3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F8E288">
      <w:start w:val="1"/>
      <w:numFmt w:val="bullet"/>
      <w:lvlText w:val="▪"/>
      <w:lvlJc w:val="left"/>
      <w:pPr>
        <w:ind w:left="4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A6F434">
      <w:start w:val="1"/>
      <w:numFmt w:val="bullet"/>
      <w:lvlText w:val="•"/>
      <w:lvlJc w:val="left"/>
      <w:pPr>
        <w:ind w:left="4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6F45C">
      <w:start w:val="1"/>
      <w:numFmt w:val="bullet"/>
      <w:lvlText w:val="o"/>
      <w:lvlJc w:val="left"/>
      <w:pPr>
        <w:ind w:left="5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4A3B32">
      <w:start w:val="1"/>
      <w:numFmt w:val="bullet"/>
      <w:lvlText w:val="▪"/>
      <w:lvlJc w:val="left"/>
      <w:pPr>
        <w:ind w:left="6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C367D42"/>
    <w:multiLevelType w:val="multilevel"/>
    <w:tmpl w:val="37A65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E579D9"/>
    <w:multiLevelType w:val="hybridMultilevel"/>
    <w:tmpl w:val="9F5CFB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21162"/>
    <w:multiLevelType w:val="hybridMultilevel"/>
    <w:tmpl w:val="FCEC8A9E"/>
    <w:lvl w:ilvl="0" w:tplc="4C884F38">
      <w:start w:val="1"/>
      <w:numFmt w:val="bullet"/>
      <w:lvlText w:val="•"/>
      <w:lvlJc w:val="left"/>
      <w:pPr>
        <w:ind w:left="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64217E">
      <w:start w:val="1"/>
      <w:numFmt w:val="bullet"/>
      <w:lvlText w:val="o"/>
      <w:lvlJc w:val="left"/>
      <w:pPr>
        <w:ind w:left="12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8631EE">
      <w:start w:val="1"/>
      <w:numFmt w:val="bullet"/>
      <w:lvlText w:val="▪"/>
      <w:lvlJc w:val="left"/>
      <w:pPr>
        <w:ind w:left="20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827892">
      <w:start w:val="1"/>
      <w:numFmt w:val="bullet"/>
      <w:lvlText w:val="•"/>
      <w:lvlJc w:val="left"/>
      <w:pPr>
        <w:ind w:left="2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264B28">
      <w:start w:val="1"/>
      <w:numFmt w:val="bullet"/>
      <w:lvlText w:val="o"/>
      <w:lvlJc w:val="left"/>
      <w:pPr>
        <w:ind w:left="34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F6A5FA">
      <w:start w:val="1"/>
      <w:numFmt w:val="bullet"/>
      <w:lvlText w:val="▪"/>
      <w:lvlJc w:val="left"/>
      <w:pPr>
        <w:ind w:left="41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1408F4">
      <w:start w:val="1"/>
      <w:numFmt w:val="bullet"/>
      <w:lvlText w:val="•"/>
      <w:lvlJc w:val="left"/>
      <w:pPr>
        <w:ind w:left="4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0AF274">
      <w:start w:val="1"/>
      <w:numFmt w:val="bullet"/>
      <w:lvlText w:val="o"/>
      <w:lvlJc w:val="left"/>
      <w:pPr>
        <w:ind w:left="56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C20E34">
      <w:start w:val="1"/>
      <w:numFmt w:val="bullet"/>
      <w:lvlText w:val="▪"/>
      <w:lvlJc w:val="left"/>
      <w:pPr>
        <w:ind w:left="63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8574611"/>
    <w:multiLevelType w:val="hybridMultilevel"/>
    <w:tmpl w:val="75C6BAA4"/>
    <w:lvl w:ilvl="0" w:tplc="CA9E967C">
      <w:start w:val="1"/>
      <w:numFmt w:val="bullet"/>
      <w:lvlText w:val="•"/>
      <w:lvlJc w:val="left"/>
      <w:pPr>
        <w:ind w:left="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B6E600">
      <w:start w:val="1"/>
      <w:numFmt w:val="bullet"/>
      <w:lvlText w:val="o"/>
      <w:lvlJc w:val="left"/>
      <w:pPr>
        <w:ind w:left="12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5C3DF2">
      <w:start w:val="1"/>
      <w:numFmt w:val="bullet"/>
      <w:lvlText w:val="▪"/>
      <w:lvlJc w:val="left"/>
      <w:pPr>
        <w:ind w:left="20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CCAE10">
      <w:start w:val="1"/>
      <w:numFmt w:val="bullet"/>
      <w:lvlText w:val="•"/>
      <w:lvlJc w:val="left"/>
      <w:pPr>
        <w:ind w:left="2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A2418E">
      <w:start w:val="1"/>
      <w:numFmt w:val="bullet"/>
      <w:lvlText w:val="o"/>
      <w:lvlJc w:val="left"/>
      <w:pPr>
        <w:ind w:left="34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A44192">
      <w:start w:val="1"/>
      <w:numFmt w:val="bullet"/>
      <w:lvlText w:val="▪"/>
      <w:lvlJc w:val="left"/>
      <w:pPr>
        <w:ind w:left="41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2A9F3A">
      <w:start w:val="1"/>
      <w:numFmt w:val="bullet"/>
      <w:lvlText w:val="•"/>
      <w:lvlJc w:val="left"/>
      <w:pPr>
        <w:ind w:left="4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985A56">
      <w:start w:val="1"/>
      <w:numFmt w:val="bullet"/>
      <w:lvlText w:val="o"/>
      <w:lvlJc w:val="left"/>
      <w:pPr>
        <w:ind w:left="56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B8BCEA">
      <w:start w:val="1"/>
      <w:numFmt w:val="bullet"/>
      <w:lvlText w:val="▪"/>
      <w:lvlJc w:val="left"/>
      <w:pPr>
        <w:ind w:left="63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8FB5401"/>
    <w:multiLevelType w:val="hybridMultilevel"/>
    <w:tmpl w:val="F5B834E6"/>
    <w:lvl w:ilvl="0" w:tplc="AF7EF30A">
      <w:start w:val="1"/>
      <w:numFmt w:val="bullet"/>
      <w:lvlText w:val="•"/>
      <w:lvlJc w:val="left"/>
      <w:pPr>
        <w:ind w:left="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28957A">
      <w:start w:val="1"/>
      <w:numFmt w:val="bullet"/>
      <w:lvlText w:val="o"/>
      <w:lvlJc w:val="left"/>
      <w:pPr>
        <w:ind w:left="12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94CC68">
      <w:start w:val="1"/>
      <w:numFmt w:val="bullet"/>
      <w:lvlText w:val="▪"/>
      <w:lvlJc w:val="left"/>
      <w:pPr>
        <w:ind w:left="20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B2003C">
      <w:start w:val="1"/>
      <w:numFmt w:val="bullet"/>
      <w:lvlText w:val="•"/>
      <w:lvlJc w:val="left"/>
      <w:pPr>
        <w:ind w:left="2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404618">
      <w:start w:val="1"/>
      <w:numFmt w:val="bullet"/>
      <w:lvlText w:val="o"/>
      <w:lvlJc w:val="left"/>
      <w:pPr>
        <w:ind w:left="34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7E2680">
      <w:start w:val="1"/>
      <w:numFmt w:val="bullet"/>
      <w:lvlText w:val="▪"/>
      <w:lvlJc w:val="left"/>
      <w:pPr>
        <w:ind w:left="41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8A70EA">
      <w:start w:val="1"/>
      <w:numFmt w:val="bullet"/>
      <w:lvlText w:val="•"/>
      <w:lvlJc w:val="left"/>
      <w:pPr>
        <w:ind w:left="4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9074E2">
      <w:start w:val="1"/>
      <w:numFmt w:val="bullet"/>
      <w:lvlText w:val="o"/>
      <w:lvlJc w:val="left"/>
      <w:pPr>
        <w:ind w:left="56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74CC92">
      <w:start w:val="1"/>
      <w:numFmt w:val="bullet"/>
      <w:lvlText w:val="▪"/>
      <w:lvlJc w:val="left"/>
      <w:pPr>
        <w:ind w:left="63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4BA09BD"/>
    <w:multiLevelType w:val="hybridMultilevel"/>
    <w:tmpl w:val="6CF691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90036"/>
    <w:multiLevelType w:val="multilevel"/>
    <w:tmpl w:val="76180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031FBE"/>
    <w:multiLevelType w:val="hybridMultilevel"/>
    <w:tmpl w:val="D318C1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E6DF6"/>
    <w:multiLevelType w:val="hybridMultilevel"/>
    <w:tmpl w:val="8DEAB28C"/>
    <w:lvl w:ilvl="0" w:tplc="26A84E9C">
      <w:start w:val="1"/>
      <w:numFmt w:val="bullet"/>
      <w:lvlText w:val="•"/>
      <w:lvlJc w:val="left"/>
      <w:pPr>
        <w:ind w:left="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488016">
      <w:start w:val="1"/>
      <w:numFmt w:val="bullet"/>
      <w:lvlText w:val="o"/>
      <w:lvlJc w:val="left"/>
      <w:pPr>
        <w:ind w:left="1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B67DEC">
      <w:start w:val="1"/>
      <w:numFmt w:val="bullet"/>
      <w:lvlText w:val="▪"/>
      <w:lvlJc w:val="left"/>
      <w:pPr>
        <w:ind w:left="19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920D64">
      <w:start w:val="1"/>
      <w:numFmt w:val="bullet"/>
      <w:lvlText w:val="•"/>
      <w:lvlJc w:val="left"/>
      <w:pPr>
        <w:ind w:left="2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7EBBBC">
      <w:start w:val="1"/>
      <w:numFmt w:val="bullet"/>
      <w:lvlText w:val="o"/>
      <w:lvlJc w:val="left"/>
      <w:pPr>
        <w:ind w:left="3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5EAF24">
      <w:start w:val="1"/>
      <w:numFmt w:val="bullet"/>
      <w:lvlText w:val="▪"/>
      <w:lvlJc w:val="left"/>
      <w:pPr>
        <w:ind w:left="4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484366">
      <w:start w:val="1"/>
      <w:numFmt w:val="bullet"/>
      <w:lvlText w:val="•"/>
      <w:lvlJc w:val="left"/>
      <w:pPr>
        <w:ind w:left="4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EE732A">
      <w:start w:val="1"/>
      <w:numFmt w:val="bullet"/>
      <w:lvlText w:val="o"/>
      <w:lvlJc w:val="left"/>
      <w:pPr>
        <w:ind w:left="5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C2975E">
      <w:start w:val="1"/>
      <w:numFmt w:val="bullet"/>
      <w:lvlText w:val="▪"/>
      <w:lvlJc w:val="left"/>
      <w:pPr>
        <w:ind w:left="6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9685EA1"/>
    <w:multiLevelType w:val="hybridMultilevel"/>
    <w:tmpl w:val="2D94EC70"/>
    <w:lvl w:ilvl="0" w:tplc="1C903F84">
      <w:start w:val="1"/>
      <w:numFmt w:val="bullet"/>
      <w:lvlText w:val="•"/>
      <w:lvlJc w:val="left"/>
      <w:pPr>
        <w:ind w:left="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C205FC">
      <w:start w:val="1"/>
      <w:numFmt w:val="bullet"/>
      <w:lvlText w:val="o"/>
      <w:lvlJc w:val="left"/>
      <w:pPr>
        <w:ind w:left="12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D471F2">
      <w:start w:val="1"/>
      <w:numFmt w:val="bullet"/>
      <w:lvlText w:val="▪"/>
      <w:lvlJc w:val="left"/>
      <w:pPr>
        <w:ind w:left="20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B68436">
      <w:start w:val="1"/>
      <w:numFmt w:val="bullet"/>
      <w:lvlText w:val="•"/>
      <w:lvlJc w:val="left"/>
      <w:pPr>
        <w:ind w:left="2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3870B8">
      <w:start w:val="1"/>
      <w:numFmt w:val="bullet"/>
      <w:lvlText w:val="o"/>
      <w:lvlJc w:val="left"/>
      <w:pPr>
        <w:ind w:left="34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0CA03C">
      <w:start w:val="1"/>
      <w:numFmt w:val="bullet"/>
      <w:lvlText w:val="▪"/>
      <w:lvlJc w:val="left"/>
      <w:pPr>
        <w:ind w:left="41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82810C">
      <w:start w:val="1"/>
      <w:numFmt w:val="bullet"/>
      <w:lvlText w:val="•"/>
      <w:lvlJc w:val="left"/>
      <w:pPr>
        <w:ind w:left="4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6C0C80">
      <w:start w:val="1"/>
      <w:numFmt w:val="bullet"/>
      <w:lvlText w:val="o"/>
      <w:lvlJc w:val="left"/>
      <w:pPr>
        <w:ind w:left="56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CC8362">
      <w:start w:val="1"/>
      <w:numFmt w:val="bullet"/>
      <w:lvlText w:val="▪"/>
      <w:lvlJc w:val="left"/>
      <w:pPr>
        <w:ind w:left="63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9"/>
  </w:num>
  <w:num w:numId="5">
    <w:abstractNumId w:val="3"/>
  </w:num>
  <w:num w:numId="6">
    <w:abstractNumId w:val="19"/>
  </w:num>
  <w:num w:numId="7">
    <w:abstractNumId w:val="14"/>
  </w:num>
  <w:num w:numId="8">
    <w:abstractNumId w:val="5"/>
  </w:num>
  <w:num w:numId="9">
    <w:abstractNumId w:val="13"/>
  </w:num>
  <w:num w:numId="10">
    <w:abstractNumId w:val="18"/>
  </w:num>
  <w:num w:numId="11">
    <w:abstractNumId w:val="7"/>
  </w:num>
  <w:num w:numId="12">
    <w:abstractNumId w:val="12"/>
  </w:num>
  <w:num w:numId="13">
    <w:abstractNumId w:val="1"/>
  </w:num>
  <w:num w:numId="14">
    <w:abstractNumId w:val="4"/>
  </w:num>
  <w:num w:numId="15">
    <w:abstractNumId w:val="11"/>
  </w:num>
  <w:num w:numId="16">
    <w:abstractNumId w:val="17"/>
  </w:num>
  <w:num w:numId="17">
    <w:abstractNumId w:val="2"/>
  </w:num>
  <w:num w:numId="18">
    <w:abstractNumId w:val="15"/>
  </w:num>
  <w:num w:numId="19">
    <w:abstractNumId w:val="10"/>
  </w:num>
  <w:num w:numId="20">
    <w:abstractNumId w:val="16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91D"/>
    <w:rsid w:val="0009486D"/>
    <w:rsid w:val="0020590A"/>
    <w:rsid w:val="002802A4"/>
    <w:rsid w:val="0029591D"/>
    <w:rsid w:val="005017DB"/>
    <w:rsid w:val="00582FAC"/>
    <w:rsid w:val="00600A74"/>
    <w:rsid w:val="006D2C07"/>
    <w:rsid w:val="00B00A93"/>
    <w:rsid w:val="00BB1F77"/>
    <w:rsid w:val="00E45A82"/>
    <w:rsid w:val="00F8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895C3"/>
  <w15:chartTrackingRefBased/>
  <w15:docId w15:val="{34FC3A98-509E-F149-B4A7-6CC9B4B5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9591D"/>
    <w:rPr>
      <w:rFonts w:ascii="Arial" w:eastAsia="Times New Roman" w:hAnsi="Arial" w:cs="Times New Roman"/>
      <w:sz w:val="19"/>
    </w:rPr>
  </w:style>
  <w:style w:type="paragraph" w:styleId="Nadpis1">
    <w:name w:val="heading 1"/>
    <w:aliases w:val="01_Heading 1,Nadpis 1 - IM,I,kapitola,Čo robí (časť),Chapter"/>
    <w:next w:val="Nadpis2"/>
    <w:link w:val="Nadpis1Char"/>
    <w:uiPriority w:val="99"/>
    <w:qFormat/>
    <w:rsid w:val="0029591D"/>
    <w:pPr>
      <w:keepNext/>
      <w:pageBreakBefore/>
      <w:numPr>
        <w:numId w:val="1"/>
      </w:numPr>
      <w:spacing w:before="480" w:after="240"/>
      <w:outlineLvl w:val="0"/>
    </w:pPr>
    <w:rPr>
      <w:rFonts w:ascii="Arial" w:eastAsia="Times New Roman" w:hAnsi="Arial" w:cs="Arial"/>
      <w:b/>
      <w:bCs/>
      <w:color w:val="002776"/>
      <w:kern w:val="32"/>
      <w:sz w:val="32"/>
      <w:szCs w:val="32"/>
      <w:lang w:val="en-US"/>
    </w:rPr>
  </w:style>
  <w:style w:type="paragraph" w:styleId="Nadpis2">
    <w:name w:val="heading 2"/>
    <w:aliases w:val="Nadpis_2,02_Heading 2,AB,Úloha,Úloha Char,Heading 2 Char1,Heading 2 Char Char,Char Char Char Char Char Char"/>
    <w:basedOn w:val="Nadpis1"/>
    <w:next w:val="Nadpis3"/>
    <w:link w:val="Nadpis2Char"/>
    <w:uiPriority w:val="99"/>
    <w:qFormat/>
    <w:rsid w:val="0029591D"/>
    <w:pPr>
      <w:pageBreakBefore w:val="0"/>
      <w:numPr>
        <w:ilvl w:val="1"/>
      </w:numPr>
      <w:spacing w:before="360"/>
      <w:outlineLvl w:val="1"/>
    </w:pPr>
    <w:rPr>
      <w:bCs w:val="0"/>
      <w:iCs/>
      <w:color w:val="0070C0"/>
      <w:sz w:val="26"/>
      <w:szCs w:val="24"/>
    </w:rPr>
  </w:style>
  <w:style w:type="paragraph" w:styleId="Nadpis3">
    <w:name w:val="heading 3"/>
    <w:aliases w:val="03_Heading 3,Obyeajný,1,Podpodkapitola,adpis 3,Podúloha,Heading 3 Char1 Char,Heading 3 Char Char Char"/>
    <w:basedOn w:val="Nadpis2"/>
    <w:next w:val="Normlny"/>
    <w:link w:val="Nadpis3Char"/>
    <w:uiPriority w:val="9"/>
    <w:qFormat/>
    <w:rsid w:val="0029591D"/>
    <w:pPr>
      <w:numPr>
        <w:ilvl w:val="2"/>
      </w:numPr>
      <w:spacing w:before="240" w:after="120"/>
      <w:outlineLvl w:val="2"/>
    </w:pPr>
    <w:rPr>
      <w:bCs/>
      <w:color w:val="00B0F0"/>
      <w:sz w:val="22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9591D"/>
    <w:pPr>
      <w:keepNext/>
      <w:keepLines/>
      <w:numPr>
        <w:ilvl w:val="3"/>
        <w:numId w:val="1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aliases w:val="05_Heading 5,1-1-1"/>
    <w:basedOn w:val="Normlny"/>
    <w:next w:val="Normlny"/>
    <w:link w:val="Nadpis5Char"/>
    <w:unhideWhenUsed/>
    <w:qFormat/>
    <w:rsid w:val="0029591D"/>
    <w:pPr>
      <w:keepNext/>
      <w:keepLines/>
      <w:numPr>
        <w:ilvl w:val="4"/>
        <w:numId w:val="1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nhideWhenUsed/>
    <w:qFormat/>
    <w:rsid w:val="0029591D"/>
    <w:pPr>
      <w:keepNext/>
      <w:keepLines/>
      <w:numPr>
        <w:ilvl w:val="5"/>
        <w:numId w:val="1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29591D"/>
    <w:pPr>
      <w:keepNext/>
      <w:keepLines/>
      <w:numPr>
        <w:ilvl w:val="6"/>
        <w:numId w:val="1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nhideWhenUsed/>
    <w:qFormat/>
    <w:rsid w:val="0029591D"/>
    <w:pPr>
      <w:keepNext/>
      <w:keepLines/>
      <w:numPr>
        <w:ilvl w:val="7"/>
        <w:numId w:val="1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29591D"/>
    <w:pPr>
      <w:keepNext/>
      <w:keepLines/>
      <w:numPr>
        <w:ilvl w:val="8"/>
        <w:numId w:val="1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01_Heading 1 Char,Nadpis 1 - IM Char,I Char,kapitola Char,Čo robí (časť) Char,Chapter Char"/>
    <w:basedOn w:val="Predvolenpsmoodseku"/>
    <w:link w:val="Nadpis1"/>
    <w:uiPriority w:val="99"/>
    <w:rsid w:val="0029591D"/>
    <w:rPr>
      <w:rFonts w:ascii="Arial" w:eastAsia="Times New Roman" w:hAnsi="Arial" w:cs="Arial"/>
      <w:b/>
      <w:bCs/>
      <w:color w:val="002776"/>
      <w:kern w:val="32"/>
      <w:sz w:val="32"/>
      <w:szCs w:val="32"/>
      <w:lang w:val="en-US"/>
    </w:rPr>
  </w:style>
  <w:style w:type="character" w:customStyle="1" w:styleId="Nadpis2Char">
    <w:name w:val="Nadpis 2 Char"/>
    <w:aliases w:val="Nadpis_2 Char,02_Heading 2 Char,AB Char,Úloha Char1,Úloha Char Char,Heading 2 Char1 Char,Heading 2 Char Char Char,Char Char Char Char Char Char Char"/>
    <w:basedOn w:val="Predvolenpsmoodseku"/>
    <w:link w:val="Nadpis2"/>
    <w:uiPriority w:val="99"/>
    <w:rsid w:val="0029591D"/>
    <w:rPr>
      <w:rFonts w:ascii="Arial" w:eastAsia="Times New Roman" w:hAnsi="Arial" w:cs="Arial"/>
      <w:b/>
      <w:iCs/>
      <w:color w:val="0070C0"/>
      <w:kern w:val="32"/>
      <w:sz w:val="26"/>
      <w:lang w:val="en-US"/>
    </w:rPr>
  </w:style>
  <w:style w:type="character" w:customStyle="1" w:styleId="Nadpis3Char">
    <w:name w:val="Nadpis 3 Char"/>
    <w:aliases w:val="03_Heading 3 Char,Obyeajný Char,1 Char,Podpodkapitola Char,adpis 3 Char,Podúloha Char,Heading 3 Char1 Char Char,Heading 3 Char Char Char Char"/>
    <w:basedOn w:val="Predvolenpsmoodseku"/>
    <w:link w:val="Nadpis3"/>
    <w:uiPriority w:val="9"/>
    <w:rsid w:val="0029591D"/>
    <w:rPr>
      <w:rFonts w:ascii="Arial" w:eastAsia="Times New Roman" w:hAnsi="Arial" w:cs="Arial"/>
      <w:b/>
      <w:bCs/>
      <w:iCs/>
      <w:color w:val="00B0F0"/>
      <w:kern w:val="32"/>
      <w:sz w:val="22"/>
      <w:szCs w:val="26"/>
      <w:lang w:val="en-US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9591D"/>
    <w:rPr>
      <w:rFonts w:ascii="Arial" w:eastAsia="Times New Roman" w:hAnsi="Arial" w:cs="Times New Roman"/>
      <w:b/>
      <w:bCs/>
      <w:iCs/>
    </w:rPr>
  </w:style>
  <w:style w:type="character" w:customStyle="1" w:styleId="Nadpis5Char">
    <w:name w:val="Nadpis 5 Char"/>
    <w:aliases w:val="05_Heading 5 Char,1-1-1 Char"/>
    <w:basedOn w:val="Predvolenpsmoodseku"/>
    <w:link w:val="Nadpis5"/>
    <w:rsid w:val="0029591D"/>
    <w:rPr>
      <w:rFonts w:ascii="Arial" w:eastAsia="Times New Roman" w:hAnsi="Arial" w:cs="Times New Roman"/>
      <w:b/>
      <w:i/>
      <w:color w:val="00133A"/>
    </w:rPr>
  </w:style>
  <w:style w:type="character" w:customStyle="1" w:styleId="Nadpis6Char">
    <w:name w:val="Nadpis 6 Char"/>
    <w:aliases w:val="1-1-1-1 Char"/>
    <w:basedOn w:val="Predvolenpsmoodseku"/>
    <w:link w:val="Nadpis6"/>
    <w:rsid w:val="0029591D"/>
    <w:rPr>
      <w:rFonts w:ascii="Arial" w:eastAsia="Times New Roman" w:hAnsi="Arial" w:cs="Times New Roman"/>
      <w:i/>
      <w:iCs/>
      <w:color w:val="00133A"/>
    </w:rPr>
  </w:style>
  <w:style w:type="character" w:customStyle="1" w:styleId="Nadpis7Char">
    <w:name w:val="Nadpis 7 Char"/>
    <w:basedOn w:val="Predvolenpsmoodseku"/>
    <w:link w:val="Nadpis7"/>
    <w:rsid w:val="0029591D"/>
    <w:rPr>
      <w:rFonts w:ascii="Arial" w:eastAsia="Times New Roman" w:hAnsi="Arial" w:cs="Times New Roman"/>
      <w:i/>
      <w:iCs/>
      <w:color w:val="404040"/>
      <w:sz w:val="22"/>
    </w:rPr>
  </w:style>
  <w:style w:type="character" w:customStyle="1" w:styleId="Nadpis8Char">
    <w:name w:val="Nadpis 8 Char"/>
    <w:basedOn w:val="Predvolenpsmoodseku"/>
    <w:link w:val="Nadpis8"/>
    <w:rsid w:val="0029591D"/>
    <w:rPr>
      <w:rFonts w:ascii="Arial" w:eastAsia="Times New Roman" w:hAnsi="Arial" w:cs="Times New Roman"/>
      <w:i/>
      <w:color w:val="404040"/>
      <w:sz w:val="20"/>
      <w:szCs w:val="20"/>
    </w:rPr>
  </w:style>
  <w:style w:type="character" w:customStyle="1" w:styleId="Nadpis9Char">
    <w:name w:val="Nadpis 9 Char"/>
    <w:basedOn w:val="Predvolenpsmoodseku"/>
    <w:link w:val="Nadpis9"/>
    <w:rsid w:val="0029591D"/>
    <w:rPr>
      <w:rFonts w:ascii="Arial" w:eastAsia="Times New Roman" w:hAnsi="Arial" w:cs="Times New Roman"/>
      <w:i/>
      <w:iCs/>
      <w:color w:val="404040"/>
      <w:sz w:val="18"/>
      <w:szCs w:val="20"/>
    </w:rPr>
  </w:style>
  <w:style w:type="character" w:styleId="Odkaznakomentr">
    <w:name w:val="annotation reference"/>
    <w:unhideWhenUsed/>
    <w:rsid w:val="002959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9591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9591D"/>
    <w:rPr>
      <w:rFonts w:ascii="Calibri" w:eastAsia="Calibri" w:hAnsi="Calibri" w:cs="Times New Roman"/>
      <w:sz w:val="20"/>
      <w:szCs w:val="20"/>
    </w:rPr>
  </w:style>
  <w:style w:type="paragraph" w:styleId="Zoznamsodrkami2">
    <w:name w:val="List Bullet 2"/>
    <w:basedOn w:val="Normlny"/>
    <w:uiPriority w:val="99"/>
    <w:unhideWhenUsed/>
    <w:rsid w:val="0029591D"/>
    <w:pPr>
      <w:numPr>
        <w:numId w:val="2"/>
      </w:numPr>
      <w:contextualSpacing/>
    </w:pPr>
    <w:rPr>
      <w:rFonts w:ascii="Times New Roman" w:hAnsi="Times New Roman"/>
      <w:sz w:val="24"/>
      <w:lang w:eastAsia="sk-SK"/>
    </w:rPr>
  </w:style>
  <w:style w:type="paragraph" w:customStyle="1" w:styleId="footnotedescription">
    <w:name w:val="footnote description"/>
    <w:next w:val="Normlny"/>
    <w:link w:val="footnotedescriptionChar"/>
    <w:hidden/>
    <w:rsid w:val="0029591D"/>
    <w:pPr>
      <w:spacing w:line="259" w:lineRule="auto"/>
      <w:ind w:left="142" w:hanging="142"/>
    </w:pPr>
    <w:rPr>
      <w:rFonts w:ascii="Arial" w:eastAsia="Arial" w:hAnsi="Arial" w:cs="Arial"/>
      <w:color w:val="000000"/>
      <w:sz w:val="16"/>
      <w:lang w:eastAsia="sk-SK"/>
    </w:rPr>
  </w:style>
  <w:style w:type="character" w:customStyle="1" w:styleId="footnotedescriptionChar">
    <w:name w:val="footnote description Char"/>
    <w:link w:val="footnotedescription"/>
    <w:rsid w:val="0029591D"/>
    <w:rPr>
      <w:rFonts w:ascii="Arial" w:eastAsia="Arial" w:hAnsi="Arial" w:cs="Arial"/>
      <w:color w:val="000000"/>
      <w:sz w:val="16"/>
      <w:lang w:eastAsia="sk-SK"/>
    </w:rPr>
  </w:style>
  <w:style w:type="character" w:customStyle="1" w:styleId="footnotemark">
    <w:name w:val="footnote mark"/>
    <w:hidden/>
    <w:rsid w:val="0029591D"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rsid w:val="0029591D"/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9486D"/>
    <w:pPr>
      <w:spacing w:after="120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09486D"/>
    <w:rPr>
      <w:sz w:val="22"/>
      <w:szCs w:val="22"/>
    </w:rPr>
  </w:style>
  <w:style w:type="paragraph" w:customStyle="1" w:styleId="Default">
    <w:name w:val="Default"/>
    <w:rsid w:val="0009486D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Strednmrieka1zvraznenie1">
    <w:name w:val="Medium Grid 1 Accent 1"/>
    <w:basedOn w:val="Normlnatabuka"/>
    <w:uiPriority w:val="67"/>
    <w:rsid w:val="0009486D"/>
    <w:rPr>
      <w:sz w:val="22"/>
      <w:szCs w:val="22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paragraph" w:styleId="Normlnywebov">
    <w:name w:val="Normal (Web)"/>
    <w:basedOn w:val="Normlny"/>
    <w:uiPriority w:val="99"/>
    <w:unhideWhenUsed/>
    <w:rsid w:val="006D2C07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82FA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82FAC"/>
    <w:rPr>
      <w:rFonts w:ascii="Arial" w:eastAsia="Times New Roman" w:hAnsi="Arial" w:cs="Times New Roman"/>
      <w:sz w:val="19"/>
    </w:rPr>
  </w:style>
  <w:style w:type="paragraph" w:styleId="Pta">
    <w:name w:val="footer"/>
    <w:basedOn w:val="Normlny"/>
    <w:link w:val="PtaChar"/>
    <w:uiPriority w:val="99"/>
    <w:unhideWhenUsed/>
    <w:rsid w:val="00582FA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82FAC"/>
    <w:rPr>
      <w:rFonts w:ascii="Arial" w:eastAsia="Times New Roman" w:hAnsi="Arial" w:cs="Times New Roman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36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7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37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72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31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57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879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4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1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3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034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9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966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28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82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51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582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2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934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17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14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09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2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91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678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68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874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90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789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8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5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49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5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5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8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6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6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4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6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20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9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93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98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23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2280</Words>
  <Characters>13002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Jozef Nemec</dc:creator>
  <cp:keywords/>
  <dc:description/>
  <cp:lastModifiedBy>autor</cp:lastModifiedBy>
  <cp:revision>6</cp:revision>
  <dcterms:created xsi:type="dcterms:W3CDTF">2021-02-06T20:05:00Z</dcterms:created>
  <dcterms:modified xsi:type="dcterms:W3CDTF">2021-02-23T21:06:00Z</dcterms:modified>
</cp:coreProperties>
</file>