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9E465" w14:textId="77777777" w:rsidR="0036642B" w:rsidRDefault="00E31775">
      <w:pPr>
        <w:spacing w:after="208" w:line="259" w:lineRule="auto"/>
        <w:ind w:left="-587" w:right="-631" w:firstLine="0"/>
        <w:jc w:val="left"/>
      </w:pPr>
      <w:r>
        <w:rPr>
          <w:noProof/>
          <w:lang w:bidi="ar-SA"/>
        </w:rPr>
        <w:drawing>
          <wp:inline distT="0" distB="0" distL="0" distR="0" wp14:anchorId="323E3523" wp14:editId="1789543D">
            <wp:extent cx="6535674" cy="1381760"/>
            <wp:effectExtent l="0" t="0" r="0" b="0"/>
            <wp:docPr id="398" name="Picture 398"/>
            <wp:cNvGraphicFramePr/>
            <a:graphic xmlns:a="http://schemas.openxmlformats.org/drawingml/2006/main">
              <a:graphicData uri="http://schemas.openxmlformats.org/drawingml/2006/picture">
                <pic:pic xmlns:pic="http://schemas.openxmlformats.org/drawingml/2006/picture">
                  <pic:nvPicPr>
                    <pic:cNvPr id="398" name="Picture 398"/>
                    <pic:cNvPicPr/>
                  </pic:nvPicPr>
                  <pic:blipFill>
                    <a:blip r:embed="rId8"/>
                    <a:stretch>
                      <a:fillRect/>
                    </a:stretch>
                  </pic:blipFill>
                  <pic:spPr>
                    <a:xfrm>
                      <a:off x="0" y="0"/>
                      <a:ext cx="6535674" cy="1381760"/>
                    </a:xfrm>
                    <a:prstGeom prst="rect">
                      <a:avLst/>
                    </a:prstGeom>
                  </pic:spPr>
                </pic:pic>
              </a:graphicData>
            </a:graphic>
          </wp:inline>
        </w:drawing>
      </w:r>
    </w:p>
    <w:p w14:paraId="573BED87" w14:textId="77777777" w:rsidR="0036642B" w:rsidRDefault="00E31775">
      <w:pPr>
        <w:spacing w:after="0" w:line="370" w:lineRule="auto"/>
        <w:ind w:left="0" w:right="9025" w:firstLine="0"/>
        <w:jc w:val="left"/>
      </w:pPr>
      <w:r>
        <w:rPr>
          <w:b/>
          <w:i/>
          <w:color w:val="000000"/>
        </w:rPr>
        <w:t xml:space="preserve"> </w:t>
      </w:r>
      <w:r>
        <w:rPr>
          <w:color w:val="000000"/>
        </w:rPr>
        <w:t xml:space="preserve">     </w:t>
      </w:r>
    </w:p>
    <w:p w14:paraId="31143108" w14:textId="77777777" w:rsidR="0036642B" w:rsidRDefault="00E31775">
      <w:pPr>
        <w:spacing w:after="115" w:line="259" w:lineRule="auto"/>
        <w:ind w:left="0" w:firstLine="0"/>
        <w:jc w:val="left"/>
      </w:pPr>
      <w:r>
        <w:rPr>
          <w:color w:val="000000"/>
        </w:rPr>
        <w:t xml:space="preserve"> </w:t>
      </w:r>
    </w:p>
    <w:p w14:paraId="6EA9C357" w14:textId="2D33303C" w:rsidR="0036642B" w:rsidRDefault="0036642B">
      <w:pPr>
        <w:spacing w:after="0" w:line="240" w:lineRule="auto"/>
        <w:ind w:left="761" w:right="772" w:firstLine="0"/>
        <w:jc w:val="center"/>
      </w:pPr>
    </w:p>
    <w:p w14:paraId="01B7CCBB" w14:textId="77777777" w:rsidR="0036642B" w:rsidRDefault="00E31775">
      <w:pPr>
        <w:spacing w:after="112" w:line="259" w:lineRule="auto"/>
        <w:ind w:left="0" w:firstLine="0"/>
        <w:jc w:val="left"/>
      </w:pPr>
      <w:r>
        <w:rPr>
          <w:color w:val="000000"/>
        </w:rPr>
        <w:t xml:space="preserve"> </w:t>
      </w:r>
    </w:p>
    <w:p w14:paraId="0335D99C" w14:textId="77777777" w:rsidR="0036642B" w:rsidRDefault="00E31775">
      <w:pPr>
        <w:spacing w:after="0" w:line="259" w:lineRule="auto"/>
        <w:ind w:left="75" w:firstLine="0"/>
        <w:jc w:val="center"/>
      </w:pPr>
      <w:r>
        <w:rPr>
          <w:color w:val="000000"/>
          <w:sz w:val="36"/>
        </w:rPr>
        <w:t xml:space="preserve"> </w:t>
      </w:r>
    </w:p>
    <w:p w14:paraId="43E9E794" w14:textId="77777777" w:rsidR="0036642B" w:rsidRDefault="00E31775">
      <w:pPr>
        <w:spacing w:after="0" w:line="240" w:lineRule="auto"/>
        <w:ind w:left="3101" w:hanging="2129"/>
        <w:jc w:val="left"/>
      </w:pPr>
      <w:r>
        <w:rPr>
          <w:b/>
          <w:color w:val="000000"/>
          <w:sz w:val="36"/>
        </w:rPr>
        <w:t xml:space="preserve">Podmienky doplnkového využitia infraštruktúry  Kreatívneho centra </w:t>
      </w:r>
    </w:p>
    <w:p w14:paraId="7F65E230" w14:textId="77777777" w:rsidR="0036642B" w:rsidRDefault="00E31775">
      <w:pPr>
        <w:spacing w:after="0" w:line="259" w:lineRule="auto"/>
        <w:ind w:left="0" w:firstLine="0"/>
        <w:jc w:val="left"/>
      </w:pPr>
      <w:r>
        <w:rPr>
          <w:color w:val="000000"/>
        </w:rPr>
        <w:t xml:space="preserve"> </w:t>
      </w:r>
    </w:p>
    <w:p w14:paraId="02A3444D" w14:textId="77777777" w:rsidR="0036642B" w:rsidRDefault="00E31775">
      <w:pPr>
        <w:spacing w:after="0" w:line="259" w:lineRule="auto"/>
        <w:ind w:left="0" w:firstLine="0"/>
        <w:jc w:val="left"/>
      </w:pPr>
      <w:r>
        <w:rPr>
          <w:color w:val="000000"/>
        </w:rPr>
        <w:t xml:space="preserve"> </w:t>
      </w:r>
    </w:p>
    <w:p w14:paraId="4C7FF100" w14:textId="77777777" w:rsidR="0036642B" w:rsidRDefault="00E31775">
      <w:pPr>
        <w:spacing w:after="0" w:line="259" w:lineRule="auto"/>
        <w:ind w:left="0" w:firstLine="0"/>
        <w:jc w:val="left"/>
      </w:pPr>
      <w:r>
        <w:rPr>
          <w:color w:val="000000"/>
        </w:rPr>
        <w:t xml:space="preserve"> </w:t>
      </w:r>
    </w:p>
    <w:p w14:paraId="634D5B3A" w14:textId="77777777" w:rsidR="0036642B" w:rsidRDefault="00E31775">
      <w:pPr>
        <w:spacing w:after="0" w:line="259" w:lineRule="auto"/>
        <w:ind w:left="0" w:firstLine="0"/>
        <w:jc w:val="left"/>
      </w:pPr>
      <w:r>
        <w:rPr>
          <w:color w:val="000000"/>
        </w:rPr>
        <w:t xml:space="preserve"> </w:t>
      </w:r>
    </w:p>
    <w:p w14:paraId="29B1A2D4" w14:textId="77777777" w:rsidR="0036642B" w:rsidRDefault="00E31775">
      <w:pPr>
        <w:spacing w:after="74" w:line="259" w:lineRule="auto"/>
        <w:ind w:left="0" w:firstLine="0"/>
        <w:jc w:val="left"/>
      </w:pPr>
      <w:r>
        <w:rPr>
          <w:color w:val="000000"/>
        </w:rPr>
        <w:t xml:space="preserve"> </w:t>
      </w:r>
    </w:p>
    <w:p w14:paraId="1EC061EE" w14:textId="77777777" w:rsidR="0036642B" w:rsidRDefault="00E31775">
      <w:pPr>
        <w:spacing w:after="90" w:line="259" w:lineRule="auto"/>
        <w:ind w:left="895" w:firstLine="0"/>
        <w:jc w:val="left"/>
      </w:pPr>
      <w:r>
        <w:rPr>
          <w:b/>
          <w:color w:val="000000"/>
          <w:sz w:val="32"/>
        </w:rPr>
        <w:t xml:space="preserve">Integrovaný regionálny operačný program 2014 – 2020 </w:t>
      </w:r>
    </w:p>
    <w:p w14:paraId="5579A2CE" w14:textId="77777777" w:rsidR="0036642B" w:rsidRDefault="00E31775">
      <w:pPr>
        <w:spacing w:after="0" w:line="259" w:lineRule="auto"/>
        <w:ind w:left="0" w:right="425" w:firstLine="0"/>
        <w:jc w:val="right"/>
      </w:pPr>
      <w:r>
        <w:rPr>
          <w:b/>
          <w:color w:val="000000"/>
          <w:sz w:val="32"/>
        </w:rPr>
        <w:t xml:space="preserve">Prioritná os 3: Mobilizácia kreatívneho potenciálu v regiónoch </w:t>
      </w:r>
    </w:p>
    <w:p w14:paraId="36678D48" w14:textId="77777777" w:rsidR="0036642B" w:rsidRDefault="00E31775">
      <w:pPr>
        <w:spacing w:after="98" w:line="259" w:lineRule="auto"/>
        <w:ind w:left="0" w:firstLine="0"/>
        <w:jc w:val="left"/>
      </w:pPr>
      <w:r>
        <w:rPr>
          <w:color w:val="000000"/>
        </w:rPr>
        <w:t xml:space="preserve"> </w:t>
      </w:r>
    </w:p>
    <w:p w14:paraId="3DA3D1D5" w14:textId="77777777" w:rsidR="0036642B" w:rsidRDefault="00E31775">
      <w:pPr>
        <w:spacing w:after="0" w:line="259" w:lineRule="auto"/>
        <w:ind w:left="0" w:firstLine="0"/>
        <w:jc w:val="left"/>
      </w:pPr>
      <w:r>
        <w:rPr>
          <w:color w:val="000000"/>
        </w:rPr>
        <w:t xml:space="preserve"> </w:t>
      </w:r>
    </w:p>
    <w:p w14:paraId="50B5A794" w14:textId="77777777" w:rsidR="0036642B" w:rsidRDefault="00E31775">
      <w:pPr>
        <w:spacing w:after="0" w:line="259" w:lineRule="auto"/>
        <w:ind w:left="0" w:firstLine="0"/>
        <w:jc w:val="left"/>
      </w:pPr>
      <w:r>
        <w:rPr>
          <w:color w:val="000000"/>
        </w:rPr>
        <w:t xml:space="preserve"> </w:t>
      </w:r>
    </w:p>
    <w:p w14:paraId="63EAB261" w14:textId="77777777" w:rsidR="0036642B" w:rsidRDefault="00E31775">
      <w:pPr>
        <w:spacing w:after="0" w:line="259" w:lineRule="auto"/>
        <w:ind w:left="0" w:firstLine="0"/>
        <w:jc w:val="left"/>
      </w:pPr>
      <w:r>
        <w:rPr>
          <w:color w:val="000000"/>
        </w:rPr>
        <w:t xml:space="preserve"> </w:t>
      </w:r>
    </w:p>
    <w:p w14:paraId="3DCA165E" w14:textId="77777777" w:rsidR="0036642B" w:rsidRDefault="00E31775">
      <w:pPr>
        <w:spacing w:after="0" w:line="259" w:lineRule="auto"/>
        <w:ind w:left="0" w:firstLine="0"/>
        <w:jc w:val="left"/>
      </w:pPr>
      <w:r>
        <w:rPr>
          <w:color w:val="000000"/>
        </w:rPr>
        <w:t xml:space="preserve"> </w:t>
      </w:r>
    </w:p>
    <w:p w14:paraId="0CC8F9E8" w14:textId="77777777" w:rsidR="0036642B" w:rsidRDefault="00E31775">
      <w:pPr>
        <w:spacing w:after="0" w:line="259" w:lineRule="auto"/>
        <w:ind w:left="0" w:firstLine="0"/>
        <w:jc w:val="left"/>
      </w:pPr>
      <w:r>
        <w:rPr>
          <w:color w:val="000000"/>
        </w:rPr>
        <w:t xml:space="preserve"> </w:t>
      </w:r>
      <w:r>
        <w:rPr>
          <w:color w:val="000000"/>
        </w:rPr>
        <w:tab/>
        <w:t xml:space="preserve"> </w:t>
      </w:r>
    </w:p>
    <w:p w14:paraId="1527E006" w14:textId="77777777" w:rsidR="0036642B" w:rsidRDefault="00E31775" w:rsidP="005F112C">
      <w:pPr>
        <w:pStyle w:val="Nadpis1"/>
        <w:pageBreakBefore/>
        <w:numPr>
          <w:ilvl w:val="0"/>
          <w:numId w:val="0"/>
        </w:numPr>
        <w:spacing w:line="247" w:lineRule="auto"/>
        <w:ind w:left="357"/>
      </w:pPr>
      <w:bookmarkStart w:id="0" w:name="_Toc94025979"/>
      <w:r>
        <w:lastRenderedPageBreak/>
        <w:t>OBSAH</w:t>
      </w:r>
      <w:bookmarkEnd w:id="0"/>
      <w:r>
        <w:t xml:space="preserve"> </w:t>
      </w:r>
    </w:p>
    <w:p w14:paraId="35C9F622" w14:textId="77777777" w:rsidR="0036642B" w:rsidRDefault="00E31775">
      <w:pPr>
        <w:spacing w:after="124" w:line="259" w:lineRule="auto"/>
        <w:ind w:left="0" w:firstLine="0"/>
        <w:jc w:val="left"/>
      </w:pPr>
      <w:r>
        <w:rPr>
          <w:color w:val="000000"/>
        </w:rPr>
        <w:t xml:space="preserve"> </w:t>
      </w:r>
    </w:p>
    <w:sdt>
      <w:sdtPr>
        <w:rPr>
          <w:rFonts w:ascii="Calibri" w:eastAsia="Calibri" w:hAnsi="Calibri" w:cs="Calibri"/>
          <w:color w:val="404040"/>
          <w:sz w:val="22"/>
          <w:szCs w:val="24"/>
          <w:lang w:bidi="sk-SK"/>
        </w:rPr>
        <w:id w:val="1707443433"/>
        <w:docPartObj>
          <w:docPartGallery w:val="Table of Contents"/>
          <w:docPartUnique/>
        </w:docPartObj>
      </w:sdtPr>
      <w:sdtEndPr>
        <w:rPr>
          <w:rFonts w:ascii="Cambria" w:eastAsia="Cambria" w:hAnsi="Cambria" w:cs="Cambria"/>
          <w:b/>
          <w:color w:val="002776"/>
          <w:sz w:val="28"/>
        </w:rPr>
      </w:sdtEndPr>
      <w:sdtContent>
        <w:p w14:paraId="32E37F2E" w14:textId="7D51B1D7" w:rsidR="00AA2770" w:rsidRDefault="00AA2770">
          <w:pPr>
            <w:pStyle w:val="Hlavikaobsahu"/>
          </w:pPr>
        </w:p>
        <w:p w14:paraId="57D0C44B" w14:textId="56F049BD" w:rsidR="005F112C" w:rsidRDefault="00AA2770">
          <w:pPr>
            <w:pStyle w:val="Obsah1"/>
            <w:tabs>
              <w:tab w:val="right" w:leader="dot" w:pos="9203"/>
            </w:tabs>
            <w:rPr>
              <w:rFonts w:asciiTheme="minorHAnsi" w:eastAsiaTheme="minorEastAsia" w:hAnsiTheme="minorHAnsi" w:cstheme="minorBidi"/>
              <w:noProof/>
              <w:color w:val="auto"/>
              <w:sz w:val="24"/>
              <w:lang w:bidi="ar-SA"/>
            </w:rPr>
          </w:pPr>
          <w:r>
            <w:fldChar w:fldCharType="begin"/>
          </w:r>
          <w:r>
            <w:instrText xml:space="preserve"> TOC \o "1-3" \h \z \u </w:instrText>
          </w:r>
          <w:r>
            <w:fldChar w:fldCharType="separate"/>
          </w:r>
          <w:hyperlink w:anchor="_Toc94025979" w:history="1">
            <w:r w:rsidR="005F112C" w:rsidRPr="00A70651">
              <w:rPr>
                <w:rStyle w:val="Hypertextovprepojenie"/>
                <w:noProof/>
              </w:rPr>
              <w:t>OBSAH</w:t>
            </w:r>
            <w:r w:rsidR="005F112C">
              <w:rPr>
                <w:noProof/>
                <w:webHidden/>
              </w:rPr>
              <w:tab/>
            </w:r>
            <w:r w:rsidR="005F112C">
              <w:rPr>
                <w:noProof/>
                <w:webHidden/>
              </w:rPr>
              <w:fldChar w:fldCharType="begin"/>
            </w:r>
            <w:r w:rsidR="005F112C">
              <w:rPr>
                <w:noProof/>
                <w:webHidden/>
              </w:rPr>
              <w:instrText xml:space="preserve"> PAGEREF _Toc94025979 \h </w:instrText>
            </w:r>
            <w:r w:rsidR="005F112C">
              <w:rPr>
                <w:noProof/>
                <w:webHidden/>
              </w:rPr>
            </w:r>
            <w:r w:rsidR="005F112C">
              <w:rPr>
                <w:noProof/>
                <w:webHidden/>
              </w:rPr>
              <w:fldChar w:fldCharType="separate"/>
            </w:r>
            <w:r w:rsidR="005F112C">
              <w:rPr>
                <w:noProof/>
                <w:webHidden/>
              </w:rPr>
              <w:t>2</w:t>
            </w:r>
            <w:r w:rsidR="005F112C">
              <w:rPr>
                <w:noProof/>
                <w:webHidden/>
              </w:rPr>
              <w:fldChar w:fldCharType="end"/>
            </w:r>
          </w:hyperlink>
        </w:p>
        <w:p w14:paraId="7F074BAE" w14:textId="68D7836D" w:rsidR="005F112C" w:rsidRDefault="0044737D">
          <w:pPr>
            <w:pStyle w:val="Obsah1"/>
            <w:tabs>
              <w:tab w:val="right" w:leader="dot" w:pos="9203"/>
            </w:tabs>
            <w:rPr>
              <w:rFonts w:asciiTheme="minorHAnsi" w:eastAsiaTheme="minorEastAsia" w:hAnsiTheme="minorHAnsi" w:cstheme="minorBidi"/>
              <w:noProof/>
              <w:color w:val="auto"/>
              <w:sz w:val="24"/>
              <w:lang w:bidi="ar-SA"/>
            </w:rPr>
          </w:pPr>
          <w:hyperlink w:anchor="_Toc94025980" w:history="1">
            <w:r w:rsidR="005F112C" w:rsidRPr="00A70651">
              <w:rPr>
                <w:rStyle w:val="Hypertextovprepojenie"/>
                <w:noProof/>
              </w:rPr>
              <w:t>VYMEDZENIE KĽÚČOVÝCH POJMOV</w:t>
            </w:r>
            <w:r w:rsidR="005F112C">
              <w:rPr>
                <w:noProof/>
                <w:webHidden/>
              </w:rPr>
              <w:tab/>
            </w:r>
            <w:r w:rsidR="005F112C">
              <w:rPr>
                <w:noProof/>
                <w:webHidden/>
              </w:rPr>
              <w:fldChar w:fldCharType="begin"/>
            </w:r>
            <w:r w:rsidR="005F112C">
              <w:rPr>
                <w:noProof/>
                <w:webHidden/>
              </w:rPr>
              <w:instrText xml:space="preserve"> PAGEREF _Toc94025980 \h </w:instrText>
            </w:r>
            <w:r w:rsidR="005F112C">
              <w:rPr>
                <w:noProof/>
                <w:webHidden/>
              </w:rPr>
            </w:r>
            <w:r w:rsidR="005F112C">
              <w:rPr>
                <w:noProof/>
                <w:webHidden/>
              </w:rPr>
              <w:fldChar w:fldCharType="separate"/>
            </w:r>
            <w:r w:rsidR="005F112C">
              <w:rPr>
                <w:noProof/>
                <w:webHidden/>
              </w:rPr>
              <w:t>3</w:t>
            </w:r>
            <w:r w:rsidR="005F112C">
              <w:rPr>
                <w:noProof/>
                <w:webHidden/>
              </w:rPr>
              <w:fldChar w:fldCharType="end"/>
            </w:r>
          </w:hyperlink>
        </w:p>
        <w:p w14:paraId="55EF5BA1" w14:textId="0F5C7B45" w:rsidR="005F112C" w:rsidRDefault="0044737D">
          <w:pPr>
            <w:pStyle w:val="Obsah1"/>
            <w:tabs>
              <w:tab w:val="left" w:pos="480"/>
              <w:tab w:val="right" w:leader="dot" w:pos="9203"/>
            </w:tabs>
            <w:rPr>
              <w:rFonts w:asciiTheme="minorHAnsi" w:eastAsiaTheme="minorEastAsia" w:hAnsiTheme="minorHAnsi" w:cstheme="minorBidi"/>
              <w:noProof/>
              <w:color w:val="auto"/>
              <w:sz w:val="24"/>
              <w:lang w:bidi="ar-SA"/>
            </w:rPr>
          </w:pPr>
          <w:hyperlink w:anchor="_Toc94025981" w:history="1">
            <w:r w:rsidR="005F112C" w:rsidRPr="00A70651">
              <w:rPr>
                <w:rStyle w:val="Hypertextovprepojenie"/>
                <w:bCs/>
                <w:noProof/>
              </w:rPr>
              <w:t>1.</w:t>
            </w:r>
            <w:r w:rsidR="005F112C">
              <w:rPr>
                <w:rFonts w:asciiTheme="minorHAnsi" w:eastAsiaTheme="minorEastAsia" w:hAnsiTheme="minorHAnsi" w:cstheme="minorBidi"/>
                <w:noProof/>
                <w:color w:val="auto"/>
                <w:sz w:val="24"/>
                <w:lang w:bidi="ar-SA"/>
              </w:rPr>
              <w:tab/>
            </w:r>
            <w:r w:rsidR="005F112C" w:rsidRPr="00A70651">
              <w:rPr>
                <w:rStyle w:val="Hypertextovprepojenie"/>
                <w:noProof/>
              </w:rPr>
              <w:t>ÚVOD</w:t>
            </w:r>
            <w:r w:rsidR="005F112C">
              <w:rPr>
                <w:noProof/>
                <w:webHidden/>
              </w:rPr>
              <w:tab/>
            </w:r>
            <w:r w:rsidR="005F112C">
              <w:rPr>
                <w:noProof/>
                <w:webHidden/>
              </w:rPr>
              <w:fldChar w:fldCharType="begin"/>
            </w:r>
            <w:r w:rsidR="005F112C">
              <w:rPr>
                <w:noProof/>
                <w:webHidden/>
              </w:rPr>
              <w:instrText xml:space="preserve"> PAGEREF _Toc94025981 \h </w:instrText>
            </w:r>
            <w:r w:rsidR="005F112C">
              <w:rPr>
                <w:noProof/>
                <w:webHidden/>
              </w:rPr>
            </w:r>
            <w:r w:rsidR="005F112C">
              <w:rPr>
                <w:noProof/>
                <w:webHidden/>
              </w:rPr>
              <w:fldChar w:fldCharType="separate"/>
            </w:r>
            <w:r w:rsidR="005F112C">
              <w:rPr>
                <w:noProof/>
                <w:webHidden/>
              </w:rPr>
              <w:t>3</w:t>
            </w:r>
            <w:r w:rsidR="005F112C">
              <w:rPr>
                <w:noProof/>
                <w:webHidden/>
              </w:rPr>
              <w:fldChar w:fldCharType="end"/>
            </w:r>
          </w:hyperlink>
        </w:p>
        <w:p w14:paraId="5A9B0E6C" w14:textId="7A95AD96" w:rsidR="005F112C" w:rsidRDefault="0044737D">
          <w:pPr>
            <w:pStyle w:val="Obsah1"/>
            <w:tabs>
              <w:tab w:val="left" w:pos="480"/>
              <w:tab w:val="right" w:leader="dot" w:pos="9203"/>
            </w:tabs>
            <w:rPr>
              <w:rFonts w:asciiTheme="minorHAnsi" w:eastAsiaTheme="minorEastAsia" w:hAnsiTheme="minorHAnsi" w:cstheme="minorBidi"/>
              <w:noProof/>
              <w:color w:val="auto"/>
              <w:sz w:val="24"/>
              <w:lang w:bidi="ar-SA"/>
            </w:rPr>
          </w:pPr>
          <w:hyperlink w:anchor="_Toc94025982" w:history="1">
            <w:r w:rsidR="005F112C" w:rsidRPr="00A70651">
              <w:rPr>
                <w:rStyle w:val="Hypertextovprepojenie"/>
                <w:bCs/>
                <w:noProof/>
              </w:rPr>
              <w:t>2.</w:t>
            </w:r>
            <w:r w:rsidR="005F112C">
              <w:rPr>
                <w:rFonts w:asciiTheme="minorHAnsi" w:eastAsiaTheme="minorEastAsia" w:hAnsiTheme="minorHAnsi" w:cstheme="minorBidi"/>
                <w:noProof/>
                <w:color w:val="auto"/>
                <w:sz w:val="24"/>
                <w:lang w:bidi="ar-SA"/>
              </w:rPr>
              <w:tab/>
            </w:r>
            <w:r w:rsidR="005F112C" w:rsidRPr="00A70651">
              <w:rPr>
                <w:rStyle w:val="Hypertextovprepojenie"/>
                <w:noProof/>
              </w:rPr>
              <w:t>DOPLNKOVÉ VYUŽITIE INFRAŠTRUKTÚRY</w:t>
            </w:r>
            <w:r w:rsidR="005F112C">
              <w:rPr>
                <w:noProof/>
                <w:webHidden/>
              </w:rPr>
              <w:tab/>
            </w:r>
            <w:r w:rsidR="005F112C">
              <w:rPr>
                <w:noProof/>
                <w:webHidden/>
              </w:rPr>
              <w:fldChar w:fldCharType="begin"/>
            </w:r>
            <w:r w:rsidR="005F112C">
              <w:rPr>
                <w:noProof/>
                <w:webHidden/>
              </w:rPr>
              <w:instrText xml:space="preserve"> PAGEREF _Toc94025982 \h </w:instrText>
            </w:r>
            <w:r w:rsidR="005F112C">
              <w:rPr>
                <w:noProof/>
                <w:webHidden/>
              </w:rPr>
            </w:r>
            <w:r w:rsidR="005F112C">
              <w:rPr>
                <w:noProof/>
                <w:webHidden/>
              </w:rPr>
              <w:fldChar w:fldCharType="separate"/>
            </w:r>
            <w:r w:rsidR="005F112C">
              <w:rPr>
                <w:noProof/>
                <w:webHidden/>
              </w:rPr>
              <w:t>3</w:t>
            </w:r>
            <w:r w:rsidR="005F112C">
              <w:rPr>
                <w:noProof/>
                <w:webHidden/>
              </w:rPr>
              <w:fldChar w:fldCharType="end"/>
            </w:r>
          </w:hyperlink>
        </w:p>
        <w:p w14:paraId="09852466" w14:textId="0CB858C2" w:rsidR="005F112C" w:rsidRDefault="0044737D">
          <w:pPr>
            <w:pStyle w:val="Obsah2"/>
            <w:tabs>
              <w:tab w:val="left" w:pos="960"/>
              <w:tab w:val="right" w:leader="dot" w:pos="9203"/>
            </w:tabs>
            <w:rPr>
              <w:rFonts w:asciiTheme="minorHAnsi" w:eastAsiaTheme="minorEastAsia" w:hAnsiTheme="minorHAnsi" w:cstheme="minorBidi"/>
              <w:noProof/>
              <w:color w:val="auto"/>
              <w:sz w:val="24"/>
              <w:lang w:bidi="ar-SA"/>
            </w:rPr>
          </w:pPr>
          <w:hyperlink w:anchor="_Toc94025983" w:history="1">
            <w:r w:rsidR="005F112C" w:rsidRPr="00A70651">
              <w:rPr>
                <w:rStyle w:val="Hypertextovprepojenie"/>
                <w:bCs/>
                <w:noProof/>
              </w:rPr>
              <w:t>2.1.</w:t>
            </w:r>
            <w:r w:rsidR="005F112C">
              <w:rPr>
                <w:rFonts w:asciiTheme="minorHAnsi" w:eastAsiaTheme="minorEastAsia" w:hAnsiTheme="minorHAnsi" w:cstheme="minorBidi"/>
                <w:noProof/>
                <w:color w:val="auto"/>
                <w:sz w:val="24"/>
                <w:lang w:bidi="ar-SA"/>
              </w:rPr>
              <w:tab/>
            </w:r>
            <w:r w:rsidR="005F112C" w:rsidRPr="00A70651">
              <w:rPr>
                <w:rStyle w:val="Hypertextovprepojenie"/>
                <w:noProof/>
              </w:rPr>
              <w:t>Príklady komerčného využitia infraštruktúry</w:t>
            </w:r>
            <w:r w:rsidR="005F112C">
              <w:rPr>
                <w:noProof/>
                <w:webHidden/>
              </w:rPr>
              <w:tab/>
            </w:r>
            <w:r w:rsidR="005F112C">
              <w:rPr>
                <w:noProof/>
                <w:webHidden/>
              </w:rPr>
              <w:fldChar w:fldCharType="begin"/>
            </w:r>
            <w:r w:rsidR="005F112C">
              <w:rPr>
                <w:noProof/>
                <w:webHidden/>
              </w:rPr>
              <w:instrText xml:space="preserve"> PAGEREF _Toc94025983 \h </w:instrText>
            </w:r>
            <w:r w:rsidR="005F112C">
              <w:rPr>
                <w:noProof/>
                <w:webHidden/>
              </w:rPr>
            </w:r>
            <w:r w:rsidR="005F112C">
              <w:rPr>
                <w:noProof/>
                <w:webHidden/>
              </w:rPr>
              <w:fldChar w:fldCharType="separate"/>
            </w:r>
            <w:r w:rsidR="005F112C">
              <w:rPr>
                <w:noProof/>
                <w:webHidden/>
              </w:rPr>
              <w:t>4</w:t>
            </w:r>
            <w:r w:rsidR="005F112C">
              <w:rPr>
                <w:noProof/>
                <w:webHidden/>
              </w:rPr>
              <w:fldChar w:fldCharType="end"/>
            </w:r>
          </w:hyperlink>
        </w:p>
        <w:p w14:paraId="53D20464" w14:textId="6C5F13A5" w:rsidR="005F112C" w:rsidRDefault="0044737D">
          <w:pPr>
            <w:pStyle w:val="Obsah1"/>
            <w:tabs>
              <w:tab w:val="left" w:pos="480"/>
              <w:tab w:val="right" w:leader="dot" w:pos="9203"/>
            </w:tabs>
            <w:rPr>
              <w:rFonts w:asciiTheme="minorHAnsi" w:eastAsiaTheme="minorEastAsia" w:hAnsiTheme="minorHAnsi" w:cstheme="minorBidi"/>
              <w:noProof/>
              <w:color w:val="auto"/>
              <w:sz w:val="24"/>
              <w:lang w:bidi="ar-SA"/>
            </w:rPr>
          </w:pPr>
          <w:hyperlink w:anchor="_Toc94025984" w:history="1">
            <w:r w:rsidR="005F112C" w:rsidRPr="00A70651">
              <w:rPr>
                <w:rStyle w:val="Hypertextovprepojenie"/>
                <w:bCs/>
                <w:noProof/>
              </w:rPr>
              <w:t>3.</w:t>
            </w:r>
            <w:r w:rsidR="005F112C">
              <w:rPr>
                <w:rFonts w:asciiTheme="minorHAnsi" w:eastAsiaTheme="minorEastAsia" w:hAnsiTheme="minorHAnsi" w:cstheme="minorBidi"/>
                <w:noProof/>
                <w:color w:val="auto"/>
                <w:sz w:val="24"/>
                <w:lang w:bidi="ar-SA"/>
              </w:rPr>
              <w:tab/>
            </w:r>
            <w:r w:rsidR="005F112C" w:rsidRPr="00A70651">
              <w:rPr>
                <w:rStyle w:val="Hypertextovprepojenie"/>
                <w:noProof/>
              </w:rPr>
              <w:t>MONITORING KOMERČNÉHO VYUŽITIA INFRAŠTRUKTÚRY</w:t>
            </w:r>
            <w:r w:rsidR="005F112C">
              <w:rPr>
                <w:noProof/>
                <w:webHidden/>
              </w:rPr>
              <w:tab/>
            </w:r>
            <w:r w:rsidR="005F112C">
              <w:rPr>
                <w:noProof/>
                <w:webHidden/>
              </w:rPr>
              <w:fldChar w:fldCharType="begin"/>
            </w:r>
            <w:r w:rsidR="005F112C">
              <w:rPr>
                <w:noProof/>
                <w:webHidden/>
              </w:rPr>
              <w:instrText xml:space="preserve"> PAGEREF _Toc94025984 \h </w:instrText>
            </w:r>
            <w:r w:rsidR="005F112C">
              <w:rPr>
                <w:noProof/>
                <w:webHidden/>
              </w:rPr>
            </w:r>
            <w:r w:rsidR="005F112C">
              <w:rPr>
                <w:noProof/>
                <w:webHidden/>
              </w:rPr>
              <w:fldChar w:fldCharType="separate"/>
            </w:r>
            <w:r w:rsidR="005F112C">
              <w:rPr>
                <w:noProof/>
                <w:webHidden/>
              </w:rPr>
              <w:t>5</w:t>
            </w:r>
            <w:r w:rsidR="005F112C">
              <w:rPr>
                <w:noProof/>
                <w:webHidden/>
              </w:rPr>
              <w:fldChar w:fldCharType="end"/>
            </w:r>
          </w:hyperlink>
        </w:p>
        <w:p w14:paraId="5C92E8F7" w14:textId="3AFF5808" w:rsidR="00AA2770" w:rsidRDefault="00AA2770">
          <w:r>
            <w:rPr>
              <w:b/>
              <w:bCs/>
            </w:rPr>
            <w:fldChar w:fldCharType="end"/>
          </w:r>
        </w:p>
        <w:p w14:paraId="5587EBF0" w14:textId="77777777" w:rsidR="005F112C" w:rsidRDefault="0044737D">
          <w:pPr>
            <w:spacing w:after="0" w:line="259" w:lineRule="auto"/>
            <w:ind w:left="0" w:firstLine="0"/>
            <w:jc w:val="left"/>
            <w:rPr>
              <w:rFonts w:ascii="Cambria" w:eastAsia="Cambria" w:hAnsi="Cambria" w:cs="Cambria"/>
              <w:b/>
              <w:color w:val="002776"/>
              <w:sz w:val="28"/>
            </w:rPr>
          </w:pPr>
        </w:p>
      </w:sdtContent>
    </w:sdt>
    <w:p w14:paraId="6F63801F" w14:textId="5C5C21C2" w:rsidR="0036642B" w:rsidRDefault="00E31775">
      <w:pPr>
        <w:spacing w:after="0" w:line="259" w:lineRule="auto"/>
        <w:ind w:left="0" w:firstLine="0"/>
        <w:jc w:val="left"/>
      </w:pPr>
      <w:r>
        <w:rPr>
          <w:color w:val="000000"/>
        </w:rPr>
        <w:t xml:space="preserve"> </w:t>
      </w:r>
      <w:r>
        <w:rPr>
          <w:color w:val="000000"/>
        </w:rPr>
        <w:tab/>
      </w:r>
      <w:r>
        <w:rPr>
          <w:rFonts w:ascii="Cambria" w:eastAsia="Cambria" w:hAnsi="Cambria" w:cs="Cambria"/>
          <w:b/>
          <w:color w:val="002776"/>
          <w:sz w:val="28"/>
        </w:rPr>
        <w:t xml:space="preserve"> </w:t>
      </w:r>
      <w:r>
        <w:br w:type="page"/>
      </w:r>
    </w:p>
    <w:p w14:paraId="57371A73" w14:textId="77777777" w:rsidR="0036642B" w:rsidRDefault="00E31775" w:rsidP="006129BD">
      <w:pPr>
        <w:pStyle w:val="Nadpis1"/>
        <w:numPr>
          <w:ilvl w:val="0"/>
          <w:numId w:val="0"/>
        </w:numPr>
        <w:spacing w:before="360" w:after="240" w:line="247" w:lineRule="auto"/>
        <w:ind w:left="11"/>
      </w:pPr>
      <w:bookmarkStart w:id="1" w:name="_Toc94025980"/>
      <w:r>
        <w:lastRenderedPageBreak/>
        <w:t>VYMEDZENIE KĽÚČOVÝCH POJMOV</w:t>
      </w:r>
      <w:bookmarkEnd w:id="1"/>
      <w:r>
        <w:t xml:space="preserve"> </w:t>
      </w:r>
    </w:p>
    <w:p w14:paraId="7B240460" w14:textId="18682D6A" w:rsidR="0036642B" w:rsidRDefault="00E31775">
      <w:pPr>
        <w:ind w:left="-5"/>
      </w:pPr>
      <w:r>
        <w:rPr>
          <w:b/>
          <w:i/>
        </w:rPr>
        <w:t>Infraštruktúrou</w:t>
      </w:r>
      <w:r>
        <w:t xml:space="preserve"> sa pre účely </w:t>
      </w:r>
      <w:r w:rsidR="004F2B9C">
        <w:t>tohto materiálu</w:t>
      </w:r>
      <w:r>
        <w:t xml:space="preserve"> rozumie </w:t>
      </w:r>
      <w:r w:rsidR="00273326">
        <w:t xml:space="preserve">nehnuteľnosť (budova) alebo jej časť </w:t>
      </w:r>
      <w:r>
        <w:t>(</w:t>
      </w:r>
      <w:r w:rsidR="00273326">
        <w:t>vrátane vybavenia</w:t>
      </w:r>
      <w:r>
        <w:t>)</w:t>
      </w:r>
      <w:r w:rsidR="00273326">
        <w:t xml:space="preserve">, ktorá predstavuje </w:t>
      </w:r>
      <w:r w:rsidR="000E28E6">
        <w:t>kreatívne centrum (ďalej len „KC“)</w:t>
      </w:r>
      <w:r w:rsidR="00273326">
        <w:t>, na vybudovanie ktorého sa poskytuje nenávratný finančný príspevok.</w:t>
      </w:r>
      <w:r>
        <w:t xml:space="preserve"> </w:t>
      </w:r>
    </w:p>
    <w:p w14:paraId="4876DA6D" w14:textId="6D6F94B8" w:rsidR="0036642B" w:rsidRDefault="00E31775" w:rsidP="006D6BF0">
      <w:pPr>
        <w:ind w:left="-5"/>
      </w:pPr>
      <w:r w:rsidRPr="0065720B">
        <w:rPr>
          <w:b/>
          <w:i/>
        </w:rPr>
        <w:t>Celkovou ročnou kapacitou</w:t>
      </w:r>
      <w:r w:rsidRPr="0065720B">
        <w:t xml:space="preserve"> infraštruktúry sa pre účely </w:t>
      </w:r>
      <w:r w:rsidR="00273326" w:rsidRPr="0065720B">
        <w:t>tohto materiálu</w:t>
      </w:r>
      <w:r w:rsidRPr="0065720B">
        <w:t xml:space="preserve"> rozumie </w:t>
      </w:r>
      <w:r w:rsidR="00273326" w:rsidRPr="0065720B">
        <w:t>maximálna využiteľnosť priestoru, ktorý infraštruktúra tvorí</w:t>
      </w:r>
      <w:r w:rsidR="00917E93" w:rsidRPr="0065720B">
        <w:t>,</w:t>
      </w:r>
      <w:r w:rsidR="00273326" w:rsidRPr="0065720B">
        <w:t xml:space="preserve"> počas obdobia jedného kalendárneho </w:t>
      </w:r>
      <w:r w:rsidRPr="0065720B">
        <w:t xml:space="preserve">roka. </w:t>
      </w:r>
      <w:r w:rsidR="00917E93" w:rsidRPr="005F112C">
        <w:t xml:space="preserve">Celková ročná kapacita sa vyjadruje ako jednotka časopriestoru, teda plocha na určité obdobie. </w:t>
      </w:r>
      <w:r w:rsidR="0065720B">
        <w:t xml:space="preserve">V osobitných prípadoch je možné zohľadniť aj ďalšie faktory, ktoré by lepšie vyjadrovali </w:t>
      </w:r>
      <w:r w:rsidR="00917E93" w:rsidRPr="005F112C">
        <w:t>Vyčíslenie celkovej ročnej kapacity je dôležité pre overenie dodržania limitu 20 % celkovej ročnej kapacity na hospodársku činnosť</w:t>
      </w:r>
      <w:r w:rsidR="006D6BF0" w:rsidRPr="005F112C">
        <w:t>, resp. komerčné užívanie.</w:t>
      </w:r>
      <w:r w:rsidR="00917E93" w:rsidRPr="005F112C">
        <w:t xml:space="preserve"> </w:t>
      </w:r>
    </w:p>
    <w:p w14:paraId="12A65095" w14:textId="0B447E57" w:rsidR="0036642B" w:rsidRDefault="00E31775">
      <w:pPr>
        <w:ind w:left="-5"/>
      </w:pPr>
      <w:r>
        <w:rPr>
          <w:b/>
          <w:i/>
        </w:rPr>
        <w:t>Cieľovou skupinou</w:t>
      </w:r>
      <w:r>
        <w:t xml:space="preserve"> sa pre účely tejto metodiky rozumejú podnikatelia v kultúrnom a kreatívnom priemysle (ktorí sú chápaní v súlade s definíciou KKP, možnosťami podpory KKP v rámci IROP PO3 a</w:t>
      </w:r>
      <w:r w:rsidR="006D6BF0">
        <w:t> </w:t>
      </w:r>
      <w:r>
        <w:t>s</w:t>
      </w:r>
      <w:r w:rsidR="006D6BF0">
        <w:t> </w:t>
      </w:r>
      <w:r>
        <w:t>definíciou malých a stredných podnikov), fyzické osoby nepodnikatelia</w:t>
      </w:r>
      <w:r w:rsidR="006D6BF0">
        <w:t>,</w:t>
      </w:r>
      <w:r>
        <w:t xml:space="preserve"> ako aj široká verejnosť so záujmom o KKP a to v rámci programov poskytovaných kreatívnym centrom.  </w:t>
      </w:r>
    </w:p>
    <w:p w14:paraId="01F1AB16" w14:textId="3E24E59F" w:rsidR="00ED26FB" w:rsidRDefault="00754BCA">
      <w:pPr>
        <w:ind w:left="-5"/>
      </w:pPr>
      <w:r>
        <w:rPr>
          <w:b/>
          <w:i/>
        </w:rPr>
        <w:t>Komerčným využitím</w:t>
      </w:r>
      <w:r w:rsidR="00E31775">
        <w:t xml:space="preserve"> sa pre účely </w:t>
      </w:r>
      <w:r>
        <w:t>tohto materiálu</w:t>
      </w:r>
      <w:r w:rsidR="00E31775">
        <w:t xml:space="preserve"> rozumie </w:t>
      </w:r>
      <w:r>
        <w:t xml:space="preserve">poskytnutie </w:t>
      </w:r>
      <w:r w:rsidRPr="00ED26FB">
        <w:t>infraštruktúry KC za trhových podmienok</w:t>
      </w:r>
      <w:r w:rsidR="00ED26FB">
        <w:t>:</w:t>
      </w:r>
    </w:p>
    <w:p w14:paraId="66AA3638" w14:textId="77777777" w:rsidR="00ED26FB" w:rsidRPr="005F112C" w:rsidRDefault="00754BCA" w:rsidP="005F112C">
      <w:pPr>
        <w:pStyle w:val="Odsekzoznamu"/>
        <w:numPr>
          <w:ilvl w:val="0"/>
          <w:numId w:val="7"/>
        </w:numPr>
      </w:pPr>
      <w:r w:rsidRPr="00ED26FB">
        <w:t>na iný účel, na aký bolo KC budované (</w:t>
      </w:r>
      <w:proofErr w:type="spellStart"/>
      <w:r w:rsidR="00ED26FB">
        <w:t>t.j</w:t>
      </w:r>
      <w:proofErr w:type="spellEnd"/>
      <w:r w:rsidR="00ED26FB">
        <w:t xml:space="preserve">. mimo rámca </w:t>
      </w:r>
      <w:r w:rsidRPr="00ED26FB">
        <w:t>aktivit</w:t>
      </w:r>
      <w:r w:rsidR="00ED26FB">
        <w:t xml:space="preserve">y </w:t>
      </w:r>
      <w:r w:rsidRPr="00ED26FB">
        <w:t>2 – Poskytovanie špecifických služieb KC a (ak relevantné) aktivit</w:t>
      </w:r>
      <w:r w:rsidR="00ED26FB">
        <w:t>y</w:t>
      </w:r>
      <w:r w:rsidRPr="00ED26FB">
        <w:t xml:space="preserve"> 3 – </w:t>
      </w:r>
      <w:proofErr w:type="spellStart"/>
      <w:r w:rsidRPr="00ED26FB">
        <w:t>Emerging</w:t>
      </w:r>
      <w:proofErr w:type="spellEnd"/>
      <w:r w:rsidRPr="00ED26FB">
        <w:t xml:space="preserve"> </w:t>
      </w:r>
      <w:proofErr w:type="spellStart"/>
      <w:r w:rsidRPr="00ED26FB">
        <w:t>talents</w:t>
      </w:r>
      <w:proofErr w:type="spellEnd"/>
      <w:r w:rsidRPr="00ED26FB">
        <w:t xml:space="preserve"> v zmysle podmienok výzvy </w:t>
      </w:r>
      <w:r w:rsidRPr="00ED26FB">
        <w:rPr>
          <w:rFonts w:asciiTheme="minorHAnsi" w:hAnsiTheme="minorHAnsi" w:cstheme="minorHAnsi"/>
          <w:szCs w:val="19"/>
        </w:rPr>
        <w:t xml:space="preserve">IROP-PO3-SC31-2019-49), </w:t>
      </w:r>
      <w:r w:rsidR="00ED26FB">
        <w:rPr>
          <w:rFonts w:asciiTheme="minorHAnsi" w:hAnsiTheme="minorHAnsi" w:cstheme="minorHAnsi"/>
          <w:szCs w:val="19"/>
        </w:rPr>
        <w:t>a/alebo</w:t>
      </w:r>
    </w:p>
    <w:p w14:paraId="116E1476" w14:textId="4FDB7F2F" w:rsidR="0036642B" w:rsidRDefault="00754BCA" w:rsidP="005F112C">
      <w:pPr>
        <w:pStyle w:val="Odsekzoznamu"/>
        <w:numPr>
          <w:ilvl w:val="0"/>
          <w:numId w:val="7"/>
        </w:numPr>
      </w:pPr>
      <w:r w:rsidRPr="00ED26FB">
        <w:rPr>
          <w:rFonts w:asciiTheme="minorHAnsi" w:hAnsiTheme="minorHAnsi" w:cstheme="minorHAnsi"/>
          <w:szCs w:val="19"/>
        </w:rPr>
        <w:t xml:space="preserve">iným osobám, ako </w:t>
      </w:r>
      <w:r w:rsidR="00ED26FB" w:rsidRPr="005F112C">
        <w:rPr>
          <w:rFonts w:asciiTheme="minorHAnsi" w:hAnsiTheme="minorHAnsi" w:cstheme="minorHAnsi"/>
          <w:szCs w:val="19"/>
        </w:rPr>
        <w:t xml:space="preserve">sú cieľové skupiny oprávnených aktivít </w:t>
      </w:r>
      <w:r w:rsidR="00F97B18" w:rsidRPr="00ED26FB">
        <w:t>(aktivit</w:t>
      </w:r>
      <w:r w:rsidR="00F97B18">
        <w:t xml:space="preserve">y </w:t>
      </w:r>
      <w:r w:rsidR="00F97B18" w:rsidRPr="00ED26FB">
        <w:t>2 – Poskytovanie špecifických služieb KC a (ak relevantné) aktivit</w:t>
      </w:r>
      <w:r w:rsidR="00F97B18">
        <w:t>y</w:t>
      </w:r>
      <w:r w:rsidR="00F97B18" w:rsidRPr="00ED26FB">
        <w:t xml:space="preserve"> 3 – </w:t>
      </w:r>
      <w:proofErr w:type="spellStart"/>
      <w:r w:rsidR="00F97B18" w:rsidRPr="00ED26FB">
        <w:t>Emerging</w:t>
      </w:r>
      <w:proofErr w:type="spellEnd"/>
      <w:r w:rsidR="00F97B18" w:rsidRPr="00ED26FB">
        <w:t xml:space="preserve"> </w:t>
      </w:r>
      <w:proofErr w:type="spellStart"/>
      <w:r w:rsidR="00F97B18" w:rsidRPr="00ED26FB">
        <w:t>talents</w:t>
      </w:r>
      <w:proofErr w:type="spellEnd"/>
      <w:r w:rsidR="00F97B18">
        <w:t xml:space="preserve">) </w:t>
      </w:r>
      <w:r w:rsidR="00ED26FB" w:rsidRPr="005F112C">
        <w:rPr>
          <w:rFonts w:asciiTheme="minorHAnsi" w:hAnsiTheme="minorHAnsi" w:cstheme="minorHAnsi"/>
          <w:szCs w:val="19"/>
        </w:rPr>
        <w:t>projektu schváleného v rámci výzvy</w:t>
      </w:r>
      <w:r w:rsidR="00ED26FB" w:rsidRPr="00ED26FB">
        <w:rPr>
          <w:rFonts w:asciiTheme="minorHAnsi" w:hAnsiTheme="minorHAnsi" w:cstheme="minorHAnsi"/>
          <w:b/>
          <w:szCs w:val="19"/>
        </w:rPr>
        <w:t xml:space="preserve"> </w:t>
      </w:r>
      <w:r w:rsidR="00ED26FB" w:rsidRPr="00ED26FB">
        <w:rPr>
          <w:rFonts w:asciiTheme="minorHAnsi" w:hAnsiTheme="minorHAnsi" w:cstheme="minorHAnsi"/>
          <w:szCs w:val="19"/>
        </w:rPr>
        <w:t>IROP-PO3-SC31-2019-49</w:t>
      </w:r>
      <w:r w:rsidRPr="00ED26FB">
        <w:rPr>
          <w:rFonts w:asciiTheme="minorHAnsi" w:hAnsiTheme="minorHAnsi" w:cstheme="minorHAnsi"/>
          <w:szCs w:val="19"/>
        </w:rPr>
        <w:t xml:space="preserve">. </w:t>
      </w:r>
    </w:p>
    <w:p w14:paraId="4713AC69" w14:textId="77777777" w:rsidR="0036642B" w:rsidRDefault="00E31775" w:rsidP="005F112C">
      <w:pPr>
        <w:pStyle w:val="Nadpis1"/>
        <w:spacing w:before="360" w:after="240" w:line="247" w:lineRule="auto"/>
        <w:ind w:left="703" w:hanging="357"/>
      </w:pPr>
      <w:bookmarkStart w:id="2" w:name="_Toc94025981"/>
      <w:r>
        <w:t>ÚVOD</w:t>
      </w:r>
      <w:bookmarkEnd w:id="2"/>
      <w:r>
        <w:t xml:space="preserve"> </w:t>
      </w:r>
    </w:p>
    <w:p w14:paraId="5E00A11C" w14:textId="56F09059" w:rsidR="0036642B" w:rsidRDefault="00E31775">
      <w:pPr>
        <w:spacing w:after="5"/>
        <w:ind w:left="-5"/>
      </w:pPr>
      <w:r>
        <w:t xml:space="preserve">Cieľom </w:t>
      </w:r>
      <w:r w:rsidR="006D6BF0">
        <w:t xml:space="preserve">tohto materiálu </w:t>
      </w:r>
      <w:r>
        <w:t>je úprava pravidiel pre komerčné využitie infraštruktúry</w:t>
      </w:r>
      <w:r w:rsidR="006D6BF0">
        <w:t xml:space="preserve"> </w:t>
      </w:r>
      <w:r w:rsidR="00CD7FDF">
        <w:t>(</w:t>
      </w:r>
      <w:r w:rsidR="006D6BF0">
        <w:t>KC</w:t>
      </w:r>
      <w:r w:rsidR="00CD7FDF">
        <w:t>) tak</w:t>
      </w:r>
      <w:r>
        <w:t xml:space="preserve">, </w:t>
      </w:r>
      <w:r w:rsidR="00CD7FDF">
        <w:t xml:space="preserve">by si zachovala svoj nehospodársky charakter (jej financovanie nepredstavovalo štátnu pomoc) </w:t>
      </w:r>
      <w:r>
        <w:t xml:space="preserve">. Tento metodický materiál, ako aj každá jeho aktualizácia, nadobúda platnosť dňom jeho schválenia a účinnosť dňom jeho zverejnenia na webovom sídle SO pre IROP PO3: </w:t>
      </w:r>
      <w:hyperlink r:id="rId9">
        <w:r>
          <w:rPr>
            <w:color w:val="0563C1"/>
            <w:u w:val="single" w:color="0563C1"/>
          </w:rPr>
          <w:t>http://www.culture.gov.sk/podpora</w:t>
        </w:r>
      </w:hyperlink>
      <w:hyperlink r:id="rId10">
        <w:r>
          <w:rPr>
            <w:color w:val="0563C1"/>
            <w:u w:val="single" w:color="0563C1"/>
          </w:rPr>
          <w:t>-</w:t>
        </w:r>
      </w:hyperlink>
      <w:hyperlink r:id="rId11">
        <w:r>
          <w:rPr>
            <w:color w:val="0563C1"/>
            <w:u w:val="single" w:color="0563C1"/>
          </w:rPr>
          <w:t>projektov</w:t>
        </w:r>
      </w:hyperlink>
      <w:hyperlink r:id="rId12">
        <w:r>
          <w:rPr>
            <w:color w:val="0563C1"/>
            <w:u w:val="single" w:color="0563C1"/>
          </w:rPr>
          <w:t>-</w:t>
        </w:r>
      </w:hyperlink>
      <w:hyperlink r:id="rId13">
        <w:r>
          <w:rPr>
            <w:color w:val="0563C1"/>
            <w:u w:val="single" w:color="0563C1"/>
          </w:rPr>
          <w:t>dotacie</w:t>
        </w:r>
      </w:hyperlink>
      <w:hyperlink r:id="rId14">
        <w:r>
          <w:rPr>
            <w:color w:val="0563C1"/>
            <w:u w:val="single" w:color="0563C1"/>
          </w:rPr>
          <w:t>-</w:t>
        </w:r>
      </w:hyperlink>
      <w:hyperlink r:id="rId15">
        <w:r>
          <w:rPr>
            <w:color w:val="0563C1"/>
            <w:u w:val="single" w:color="0563C1"/>
          </w:rPr>
          <w:t>1d.html</w:t>
        </w:r>
      </w:hyperlink>
      <w:hyperlink r:id="rId16">
        <w:r>
          <w:t>.</w:t>
        </w:r>
      </w:hyperlink>
      <w:r>
        <w:t xml:space="preserve">  </w:t>
      </w:r>
    </w:p>
    <w:p w14:paraId="68E0BFE5" w14:textId="77777777" w:rsidR="0036642B" w:rsidRDefault="00E31775" w:rsidP="005F112C">
      <w:pPr>
        <w:pStyle w:val="Nadpis1"/>
        <w:spacing w:before="360" w:after="240" w:line="247" w:lineRule="auto"/>
        <w:ind w:left="703" w:hanging="357"/>
      </w:pPr>
      <w:bookmarkStart w:id="3" w:name="_Toc93282720"/>
      <w:bookmarkStart w:id="4" w:name="_Toc93282721"/>
      <w:bookmarkStart w:id="5" w:name="_Toc94025982"/>
      <w:bookmarkEnd w:id="3"/>
      <w:bookmarkEnd w:id="4"/>
      <w:r>
        <w:t>DOPLNKOVÉ VYUŽITIE INFRAŠTRUKTÚRY</w:t>
      </w:r>
      <w:bookmarkEnd w:id="5"/>
      <w:r>
        <w:t xml:space="preserve"> </w:t>
      </w:r>
    </w:p>
    <w:p w14:paraId="3A8CC187" w14:textId="5EA310B7" w:rsidR="00A15A7E" w:rsidRDefault="00D530F0" w:rsidP="005F112C">
      <w:pPr>
        <w:spacing w:line="271" w:lineRule="auto"/>
        <w:ind w:left="0" w:firstLine="0"/>
      </w:pPr>
      <w:r>
        <w:t>Podmienky tzv. zmiešaného využívania infraštruktúry, ktorá sa má takmer výlučne využívať na nehospodársku činnosť sú definované v bode 207 Oznámenia Komisie o pojme štátna pomoc uvedenom v odseku 107 ods. 1 Zmluvy o fungovaní Európskej únie (2016/C 262/01)</w:t>
      </w:r>
      <w:r>
        <w:rPr>
          <w:vertAlign w:val="superscript"/>
        </w:rPr>
        <w:footnoteReference w:id="1"/>
      </w:r>
      <w:r>
        <w:t xml:space="preserve">. </w:t>
      </w:r>
      <w:r w:rsidR="00E31775">
        <w:t xml:space="preserve">V zmysle </w:t>
      </w:r>
      <w:r>
        <w:t xml:space="preserve">spomínaného bodu </w:t>
      </w:r>
      <w:r w:rsidR="00E31775">
        <w:t xml:space="preserve">Oznámenia Komisie </w:t>
      </w:r>
      <w:r>
        <w:t xml:space="preserve">financovanie infraštruktúry ako celku môže patriť mimo rozsah </w:t>
      </w:r>
      <w:r w:rsidRPr="00D530F0">
        <w:t xml:space="preserve">pôsobnosti pravidiel štátnej pomoci, a to za predpokladu, že hospodárske využitie je čisto sprievodnou činnosťou, teda činnosťou, ktorá je priamo spojená s prevádzkou infraštruktúry a je pre ňu nevyhnutná alebo je neoddeliteľne spojená s jej hlavným nehospodárskym využitím. Za takýto by sa mal považovať prípad, keď hospodárske činnosti spotrebúvajú tie isté vstupy ako základné nehospodárske činnosti, napríklad materiál, vybavenie, prácu alebo fixný kapitál. Sprievodné hospodárske činnosti musia mať vzhľadom na </w:t>
      </w:r>
      <w:r w:rsidRPr="00D530F0">
        <w:lastRenderedPageBreak/>
        <w:t>kapacitu infraštruktúry obmedzený rozsah</w:t>
      </w:r>
      <w:r>
        <w:t xml:space="preserve">. </w:t>
      </w:r>
      <w:r w:rsidRPr="00D530F0">
        <w:t xml:space="preserve">Hospodárske </w:t>
      </w:r>
      <w:r>
        <w:t>využitie infraštruktúry možno v </w:t>
      </w:r>
      <w:r w:rsidRPr="00D530F0">
        <w:t xml:space="preserve">tejto súvislosti považovať za vedľajšie, </w:t>
      </w:r>
      <w:r>
        <w:t xml:space="preserve">resp. sprievodné, </w:t>
      </w:r>
      <w:r w:rsidRPr="00D530F0">
        <w:t>ak kapacita vyčlenená každý rok na túto činnosť neprekračuje 20 percent celkovej</w:t>
      </w:r>
      <w:r w:rsidR="00A15A7E">
        <w:t xml:space="preserve"> ročnej kapacity infraštruktúry</w:t>
      </w:r>
    </w:p>
    <w:p w14:paraId="52380E23" w14:textId="6CFACF6B" w:rsidR="0036642B" w:rsidRDefault="00A15A7E">
      <w:pPr>
        <w:ind w:left="-5"/>
      </w:pPr>
      <w:r>
        <w:t xml:space="preserve">V prípade sprievodného hospodárskeho (komerčného) využívania vybudovanej infraštruktúry KC prijímateľ zabezpečí </w:t>
      </w:r>
      <w:r w:rsidR="00E31775">
        <w:t>otvorený prístup k</w:t>
      </w:r>
      <w:r>
        <w:t xml:space="preserve"> jej </w:t>
      </w:r>
      <w:r w:rsidR="00E31775">
        <w:t xml:space="preserve">využívaniu na transparentnom a nediskriminačnom základe za štandardných trhových podmienok v súlade s účelom, na ktorý je táto infraštruktúra určená. </w:t>
      </w:r>
    </w:p>
    <w:p w14:paraId="37A6EDC3" w14:textId="77777777" w:rsidR="00A15A7E" w:rsidRDefault="00A15A7E" w:rsidP="00A15A7E">
      <w:pPr>
        <w:spacing w:line="271" w:lineRule="auto"/>
        <w:ind w:left="0" w:firstLine="0"/>
      </w:pPr>
      <w:r>
        <w:t>V</w:t>
      </w:r>
      <w:r w:rsidRPr="00E53814">
        <w:t>erejné financovanie poskytnuté na obvyklé vybavenie (napr. reštaurácie, obchody alebo platené parkovanie) infraštruktúr, ktoré sa používajú takmer výlučne na nehospodársku činnosť, spravidla nemá žiaden vplyv na obchod medzi členskými štátmi, keďže nie je pravdepodobné, že by toto obvyklé vybavenie prilákalo zákazníkov z iných členských štátov, pričom nie je pravdepodobné, že ich financovanie má viac než len okrajový vplyv na cezhraničné investície alebo usádzanie sa.</w:t>
      </w:r>
      <w:r>
        <w:t xml:space="preserve"> A teda financovanie obnovy budovy na účely zriadenia KC, ktorej súčasťou budú aj priestory určené pre komerčné prevádzky ako sú reštaurácie alebo kaviarne, ktoré priamo nesúvisia s fungovaním KC, nebude predstavovať štátnu pomoc v prípade, že využívanie infraštruktúry ako celku si zachová takmer výlučne nehospodársky charakter, </w:t>
      </w:r>
      <w:proofErr w:type="spellStart"/>
      <w:r>
        <w:t>t.j</w:t>
      </w:r>
      <w:proofErr w:type="spellEnd"/>
      <w:r>
        <w:t>. kapacita určená na primárne nekomerčné využívanie neklesne v žiadnom roku prevádzky pod 80 % celkovej kapacity KC.</w:t>
      </w:r>
    </w:p>
    <w:p w14:paraId="514470CE" w14:textId="092172DC" w:rsidR="0036642B" w:rsidRDefault="00F778B8" w:rsidP="005F112C">
      <w:pPr>
        <w:pStyle w:val="Nadpis2"/>
        <w:spacing w:before="360" w:after="240"/>
        <w:ind w:left="811" w:hanging="465"/>
      </w:pPr>
      <w:bookmarkStart w:id="6" w:name="_Toc93282723"/>
      <w:bookmarkStart w:id="7" w:name="_Toc93282724"/>
      <w:bookmarkStart w:id="8" w:name="_Toc94025983"/>
      <w:bookmarkEnd w:id="6"/>
      <w:bookmarkEnd w:id="7"/>
      <w:r>
        <w:t>Príklady k</w:t>
      </w:r>
      <w:r w:rsidR="00E31775">
        <w:t>omerčn</w:t>
      </w:r>
      <w:r>
        <w:t>ého využitia infraštruktúry</w:t>
      </w:r>
      <w:bookmarkEnd w:id="8"/>
      <w:r w:rsidR="00E31775">
        <w:t xml:space="preserve"> </w:t>
      </w:r>
    </w:p>
    <w:p w14:paraId="5C1B0527" w14:textId="3A71F3E5" w:rsidR="0036642B" w:rsidRDefault="004808C2">
      <w:pPr>
        <w:ind w:left="-5"/>
      </w:pPr>
      <w:r>
        <w:t>Modelový p</w:t>
      </w:r>
      <w:r w:rsidR="00E31775">
        <w:t>ríklad uveden</w:t>
      </w:r>
      <w:r>
        <w:t>ý</w:t>
      </w:r>
      <w:r w:rsidR="00E31775">
        <w:t xml:space="preserve"> v tejto časti </w:t>
      </w:r>
      <w:r>
        <w:t xml:space="preserve">je zjednodušený </w:t>
      </w:r>
      <w:r w:rsidR="00296DD7">
        <w:t>a</w:t>
      </w:r>
      <w:r>
        <w:t xml:space="preserve"> jeho primárnym </w:t>
      </w:r>
      <w:r w:rsidR="00296DD7">
        <w:t xml:space="preserve">účelom je demonštrovať </w:t>
      </w:r>
      <w:r>
        <w:t xml:space="preserve">jeden z </w:t>
      </w:r>
      <w:r w:rsidR="00296DD7">
        <w:t>možn</w:t>
      </w:r>
      <w:r>
        <w:t>ých</w:t>
      </w:r>
      <w:r w:rsidR="00296DD7">
        <w:t xml:space="preserve"> prístup</w:t>
      </w:r>
      <w:r>
        <w:t>ov</w:t>
      </w:r>
      <w:r w:rsidR="00296DD7">
        <w:t xml:space="preserve"> k nastaveniu zmiešaného využívania infraštruktúry KC tak, aby si zachovala svoj nehospodársky charakter a jej financovanie zostalo mimo rámca štátnej pomoci</w:t>
      </w:r>
      <w:r w:rsidR="00E31775">
        <w:t xml:space="preserve">. V praxi môžu nastať aj iné prípady, pričom SO pre IROP PO3 </w:t>
      </w:r>
      <w:r w:rsidR="00296DD7">
        <w:t xml:space="preserve">bude </w:t>
      </w:r>
      <w:r w:rsidR="00E31775">
        <w:t>posudz</w:t>
      </w:r>
      <w:r w:rsidR="00296DD7">
        <w:t xml:space="preserve">ovať jednotlivé prípady </w:t>
      </w:r>
      <w:r w:rsidR="00E31775">
        <w:t>individuálne na základe konkrétne</w:t>
      </w:r>
      <w:r w:rsidR="00296DD7">
        <w:t xml:space="preserve">j situácie a spôsobu zmiešaného </w:t>
      </w:r>
      <w:r w:rsidR="00E31775">
        <w:t xml:space="preserve">využívania podporenej infraštruktúry. SO pre IROP PO3 odporúča prijímateľom vo všetkých prípadoch, kedy majú záujem hospodársky využívať podporenú infraštruktúru, sa vopred obrátiť na SO pre IROP PO3, ktorý </w:t>
      </w:r>
      <w:r w:rsidR="00296DD7">
        <w:t xml:space="preserve">jednotlivé situácie na základe predložených podkladov </w:t>
      </w:r>
      <w:r w:rsidR="00E31775">
        <w:t xml:space="preserve">posúdi. </w:t>
      </w:r>
    </w:p>
    <w:p w14:paraId="13088D3A" w14:textId="1892261F" w:rsidR="00122131" w:rsidRDefault="00E31775" w:rsidP="005F112C">
      <w:pPr>
        <w:spacing w:after="119" w:line="264" w:lineRule="auto"/>
        <w:ind w:right="1"/>
      </w:pPr>
      <w:r>
        <w:rPr>
          <w:b/>
        </w:rPr>
        <w:t>Príklad 1:</w:t>
      </w:r>
      <w:r>
        <w:t xml:space="preserve"> </w:t>
      </w:r>
    </w:p>
    <w:p w14:paraId="7EA9B7AC" w14:textId="77777777" w:rsidR="00122131" w:rsidRDefault="00122131" w:rsidP="005F112C">
      <w:pPr>
        <w:spacing w:after="119" w:line="264" w:lineRule="auto"/>
        <w:ind w:right="1"/>
      </w:pPr>
      <w:r>
        <w:t>Budova KC pozostáva z dvoch podlaží, každé s výmerou podlahovej plochy 1.000 m</w:t>
      </w:r>
      <w:r w:rsidRPr="005F112C">
        <w:rPr>
          <w:vertAlign w:val="superscript"/>
        </w:rPr>
        <w:t>2</w:t>
      </w:r>
      <w:r>
        <w:t xml:space="preserve">. </w:t>
      </w:r>
    </w:p>
    <w:p w14:paraId="2529E3A5" w14:textId="77777777" w:rsidR="00122131" w:rsidRDefault="00122131" w:rsidP="005F112C">
      <w:pPr>
        <w:spacing w:after="119" w:line="264" w:lineRule="auto"/>
        <w:ind w:right="1"/>
      </w:pPr>
      <w:r>
        <w:t>Na prvom podlaží a nachádza:</w:t>
      </w:r>
    </w:p>
    <w:p w14:paraId="3E119F51" w14:textId="77777777" w:rsidR="00122131" w:rsidRDefault="00122131" w:rsidP="005F112C">
      <w:pPr>
        <w:pStyle w:val="Odsekzoznamu"/>
        <w:numPr>
          <w:ilvl w:val="0"/>
          <w:numId w:val="8"/>
        </w:numPr>
        <w:spacing w:after="119" w:line="264" w:lineRule="auto"/>
        <w:ind w:left="567" w:right="1"/>
      </w:pPr>
      <w:r>
        <w:t>priestor určený pre kaviareň o výmere 80 m</w:t>
      </w:r>
      <w:r w:rsidRPr="005F112C">
        <w:rPr>
          <w:vertAlign w:val="superscript"/>
        </w:rPr>
        <w:t>2</w:t>
      </w:r>
      <w:r>
        <w:t>,</w:t>
      </w:r>
    </w:p>
    <w:p w14:paraId="46146059" w14:textId="77777777" w:rsidR="00122131" w:rsidRDefault="00122131" w:rsidP="005F112C">
      <w:pPr>
        <w:pStyle w:val="Odsekzoznamu"/>
        <w:numPr>
          <w:ilvl w:val="0"/>
          <w:numId w:val="8"/>
        </w:numPr>
        <w:spacing w:after="119" w:line="264" w:lineRule="auto"/>
        <w:ind w:left="567" w:right="1"/>
      </w:pPr>
      <w:r>
        <w:t>malá sála určená na workshopy a prednášky pre skupiny do 50 účastníkov o výmere 220 m</w:t>
      </w:r>
      <w:r w:rsidRPr="005F112C">
        <w:rPr>
          <w:vertAlign w:val="superscript"/>
        </w:rPr>
        <w:t>2</w:t>
      </w:r>
      <w:r>
        <w:t>,</w:t>
      </w:r>
    </w:p>
    <w:p w14:paraId="591A0118" w14:textId="18A5F509" w:rsidR="002C471B" w:rsidRDefault="00122131" w:rsidP="005F112C">
      <w:pPr>
        <w:pStyle w:val="Odsekzoznamu"/>
        <w:numPr>
          <w:ilvl w:val="0"/>
          <w:numId w:val="8"/>
        </w:numPr>
        <w:spacing w:after="119" w:line="264" w:lineRule="auto"/>
        <w:ind w:left="567" w:right="1"/>
      </w:pPr>
      <w:r>
        <w:t xml:space="preserve">veľká sála určená najmä pre propagačné akcie v rámci aktivity </w:t>
      </w:r>
      <w:proofErr w:type="spellStart"/>
      <w:r>
        <w:t>emerging</w:t>
      </w:r>
      <w:proofErr w:type="spellEnd"/>
      <w:r>
        <w:t xml:space="preserve"> </w:t>
      </w:r>
      <w:proofErr w:type="spellStart"/>
      <w:r>
        <w:t>talents</w:t>
      </w:r>
      <w:proofErr w:type="spellEnd"/>
      <w:r>
        <w:t xml:space="preserve"> o výmere </w:t>
      </w:r>
      <w:r w:rsidR="002C471B">
        <w:t>500 m</w:t>
      </w:r>
      <w:r w:rsidR="002C471B" w:rsidRPr="005F112C">
        <w:rPr>
          <w:vertAlign w:val="superscript"/>
        </w:rPr>
        <w:t>2</w:t>
      </w:r>
      <w:r w:rsidR="002C471B">
        <w:t>,</w:t>
      </w:r>
    </w:p>
    <w:p w14:paraId="201319A4" w14:textId="2C148943" w:rsidR="002C471B" w:rsidRDefault="002C471B" w:rsidP="005F112C">
      <w:pPr>
        <w:pStyle w:val="Odsekzoznamu"/>
        <w:numPr>
          <w:ilvl w:val="0"/>
          <w:numId w:val="8"/>
        </w:numPr>
        <w:spacing w:after="119" w:line="264" w:lineRule="auto"/>
        <w:ind w:left="567" w:right="1"/>
      </w:pPr>
      <w:r>
        <w:t xml:space="preserve">zostávajúci priestor </w:t>
      </w:r>
      <w:r w:rsidR="004808C2">
        <w:t>(200 m</w:t>
      </w:r>
      <w:r w:rsidR="004808C2" w:rsidRPr="005F112C">
        <w:rPr>
          <w:vertAlign w:val="superscript"/>
        </w:rPr>
        <w:t>2</w:t>
      </w:r>
      <w:r w:rsidR="004808C2">
        <w:t xml:space="preserve">) </w:t>
      </w:r>
      <w:r>
        <w:t>tvoria chodby a sociálne zariadenia</w:t>
      </w:r>
    </w:p>
    <w:p w14:paraId="13714658" w14:textId="765AF63A" w:rsidR="002C471B" w:rsidRDefault="002C471B" w:rsidP="005F112C">
      <w:pPr>
        <w:spacing w:after="119" w:line="264" w:lineRule="auto"/>
        <w:ind w:right="1"/>
      </w:pPr>
      <w:r>
        <w:t xml:space="preserve">Na prvom podlaží </w:t>
      </w:r>
      <w:r w:rsidR="00A05AB7">
        <w:t>s</w:t>
      </w:r>
      <w:r>
        <w:t>a nachádza:</w:t>
      </w:r>
    </w:p>
    <w:p w14:paraId="70D9782A" w14:textId="61D683EF" w:rsidR="001473AD" w:rsidRDefault="002C471B" w:rsidP="002C471B">
      <w:pPr>
        <w:pStyle w:val="Odsekzoznamu"/>
        <w:numPr>
          <w:ilvl w:val="0"/>
          <w:numId w:val="9"/>
        </w:numPr>
        <w:spacing w:after="119" w:line="264" w:lineRule="auto"/>
        <w:ind w:left="567" w:right="1"/>
      </w:pPr>
      <w:r>
        <w:t>pracovná dielňa na prípravu kostýmov pre divadelné predstavenia a filmový priemysel o výmere 200 m</w:t>
      </w:r>
      <w:r w:rsidRPr="005F112C">
        <w:rPr>
          <w:vertAlign w:val="superscript"/>
        </w:rPr>
        <w:t>2</w:t>
      </w:r>
      <w:r>
        <w:t xml:space="preserve"> obsahujúca</w:t>
      </w:r>
      <w:r w:rsidR="001473AD">
        <w:t xml:space="preserve"> 5 samostatných zariadení na prácu s</w:t>
      </w:r>
      <w:r w:rsidR="00787463">
        <w:t> </w:t>
      </w:r>
      <w:r w:rsidR="001473AD">
        <w:t>textíliami</w:t>
      </w:r>
      <w:r w:rsidR="00787463">
        <w:t xml:space="preserve">, </w:t>
      </w:r>
      <w:r w:rsidR="008C282E">
        <w:t xml:space="preserve">v zmysle prevádzkového poriadku môže </w:t>
      </w:r>
      <w:r w:rsidR="00787463">
        <w:t>každé zariadenie v jednom čase využívať jedna fyzická osoba</w:t>
      </w:r>
    </w:p>
    <w:p w14:paraId="0F8A068D" w14:textId="6D4B2F16" w:rsidR="001473AD" w:rsidRDefault="001473AD" w:rsidP="002C471B">
      <w:pPr>
        <w:pStyle w:val="Odsekzoznamu"/>
        <w:numPr>
          <w:ilvl w:val="0"/>
          <w:numId w:val="9"/>
        </w:numPr>
        <w:spacing w:after="119" w:line="264" w:lineRule="auto"/>
        <w:ind w:left="567" w:right="1"/>
      </w:pPr>
      <w:r>
        <w:t>inovačný ateliér o výmere 200 m</w:t>
      </w:r>
      <w:r w:rsidRPr="005F112C">
        <w:rPr>
          <w:vertAlign w:val="superscript"/>
        </w:rPr>
        <w:t>2</w:t>
      </w:r>
      <w:r>
        <w:t>, obsahujúci 6 samostatných priestorov s vybavením na prípravu šperkov</w:t>
      </w:r>
      <w:r w:rsidR="00787463">
        <w:t xml:space="preserve">, </w:t>
      </w:r>
      <w:r w:rsidR="008C282E">
        <w:t xml:space="preserve">v zmysle prevádzkového poriadku môže </w:t>
      </w:r>
      <w:r w:rsidR="00787463">
        <w:t>každý priestor v jednom čase využívať jedna fyzická osoba</w:t>
      </w:r>
      <w:r>
        <w:t xml:space="preserve"> </w:t>
      </w:r>
    </w:p>
    <w:p w14:paraId="31A7DBF3" w14:textId="4716D7B8" w:rsidR="001473AD" w:rsidRDefault="00D97203" w:rsidP="002C471B">
      <w:pPr>
        <w:pStyle w:val="Odsekzoznamu"/>
        <w:numPr>
          <w:ilvl w:val="0"/>
          <w:numId w:val="9"/>
        </w:numPr>
        <w:spacing w:after="119" w:line="264" w:lineRule="auto"/>
        <w:ind w:left="567" w:right="1"/>
      </w:pPr>
      <w:r>
        <w:t xml:space="preserve">kancelárske priestory </w:t>
      </w:r>
      <w:r w:rsidR="001473AD">
        <w:t>slúžiace na administratívu a správu KC</w:t>
      </w:r>
      <w:r>
        <w:t xml:space="preserve"> o celkovej výmere 150 m</w:t>
      </w:r>
      <w:r w:rsidRPr="005F112C">
        <w:rPr>
          <w:vertAlign w:val="superscript"/>
        </w:rPr>
        <w:t>2</w:t>
      </w:r>
    </w:p>
    <w:p w14:paraId="77842875" w14:textId="0A47CE8E" w:rsidR="002C471B" w:rsidRDefault="001473AD" w:rsidP="002C471B">
      <w:pPr>
        <w:pStyle w:val="Odsekzoznamu"/>
        <w:numPr>
          <w:ilvl w:val="0"/>
          <w:numId w:val="9"/>
        </w:numPr>
        <w:spacing w:after="119" w:line="264" w:lineRule="auto"/>
        <w:ind w:left="567" w:right="1"/>
      </w:pPr>
      <w:r>
        <w:t xml:space="preserve">sklad materiálu pre pracovnú dielňu a inovačný ateliér o výmere 100 </w:t>
      </w:r>
      <w:r w:rsidR="002C471B">
        <w:t>m</w:t>
      </w:r>
      <w:r w:rsidR="002C471B" w:rsidRPr="006474FE">
        <w:rPr>
          <w:vertAlign w:val="superscript"/>
        </w:rPr>
        <w:t>2</w:t>
      </w:r>
      <w:r w:rsidR="002C471B">
        <w:t>,</w:t>
      </w:r>
    </w:p>
    <w:p w14:paraId="5A022F39" w14:textId="4510B84E" w:rsidR="00D97203" w:rsidRDefault="00D97203" w:rsidP="002C471B">
      <w:pPr>
        <w:pStyle w:val="Odsekzoznamu"/>
        <w:numPr>
          <w:ilvl w:val="0"/>
          <w:numId w:val="9"/>
        </w:numPr>
        <w:spacing w:after="119" w:line="264" w:lineRule="auto"/>
        <w:ind w:left="567" w:right="1"/>
      </w:pPr>
      <w:r>
        <w:lastRenderedPageBreak/>
        <w:t xml:space="preserve">zostávajúca plocha </w:t>
      </w:r>
      <w:r w:rsidR="004808C2">
        <w:t>(300 m</w:t>
      </w:r>
      <w:r w:rsidR="004808C2" w:rsidRPr="005F112C">
        <w:rPr>
          <w:vertAlign w:val="superscript"/>
        </w:rPr>
        <w:t>2</w:t>
      </w:r>
      <w:r w:rsidR="004808C2">
        <w:t xml:space="preserve">) </w:t>
      </w:r>
      <w:r>
        <w:t>pozostáva zo sociálnych zariadení a otvoreného priestoru, kde sú prezentované produkty účastníkov programov KC</w:t>
      </w:r>
      <w:r w:rsidR="00787463">
        <w:t>.</w:t>
      </w:r>
    </w:p>
    <w:p w14:paraId="6014EBA1" w14:textId="0B3D4259" w:rsidR="00787463" w:rsidRDefault="00D97203" w:rsidP="005F112C">
      <w:pPr>
        <w:spacing w:after="119" w:line="264" w:lineRule="auto"/>
        <w:ind w:right="1"/>
      </w:pPr>
      <w:r>
        <w:t xml:space="preserve">KC </w:t>
      </w:r>
      <w:r w:rsidR="00787463">
        <w:t xml:space="preserve">poskytuje svoje služby účastníkom programov počas </w:t>
      </w:r>
      <w:r w:rsidR="008C282E">
        <w:t xml:space="preserve">4 </w:t>
      </w:r>
      <w:r w:rsidR="00787463">
        <w:t xml:space="preserve">pracovných dní </w:t>
      </w:r>
      <w:r w:rsidR="008C282E">
        <w:t>v týždni</w:t>
      </w:r>
      <w:r w:rsidR="00787463">
        <w:t>. KC zároveň umožňuje komerčný prenájom malej a veľkej sály a zariadení v pracovnej dielni a ateliéri pre tretie osoby v zmysle vopred určeného cenníka</w:t>
      </w:r>
      <w:r w:rsidR="008C282E">
        <w:t xml:space="preserve"> počas jedného pracovného dňa v týždni a v osobitných prípadoch (špeciálne ad hoc akcie realizované tretími osobami a pod.) aj počas víkendov</w:t>
      </w:r>
      <w:r w:rsidR="00787463">
        <w:t>.</w:t>
      </w:r>
    </w:p>
    <w:p w14:paraId="6846C779" w14:textId="77777777" w:rsidR="00787463" w:rsidRDefault="00787463" w:rsidP="005F112C">
      <w:pPr>
        <w:spacing w:after="119" w:line="264" w:lineRule="auto"/>
        <w:ind w:right="1"/>
      </w:pPr>
      <w:r>
        <w:t>Celková kapacita KC je 2.000 m</w:t>
      </w:r>
      <w:r w:rsidRPr="005F112C">
        <w:rPr>
          <w:vertAlign w:val="superscript"/>
        </w:rPr>
        <w:t>2</w:t>
      </w:r>
      <w:r>
        <w:t xml:space="preserve"> x 365 dní. </w:t>
      </w:r>
    </w:p>
    <w:p w14:paraId="6534DC5D" w14:textId="4F9C0AA7" w:rsidR="004808C2" w:rsidRDefault="00787463" w:rsidP="005F112C">
      <w:pPr>
        <w:spacing w:after="119" w:line="264" w:lineRule="auto"/>
        <w:ind w:right="1"/>
      </w:pPr>
      <w:r>
        <w:t>Kaviareň</w:t>
      </w:r>
      <w:r w:rsidR="004808C2">
        <w:t xml:space="preserve"> ako jediný výlučne komerčne využívaný priestor využíva 4 % ročnej kapacity (vzhľadom na skutočnosť, že priestor kaviarne nie je využívaný na iné účely je možné výpočet vykonať zjednodušene ako podiel výmery kaviarne k celkovej ploche KC, </w:t>
      </w:r>
      <w:proofErr w:type="spellStart"/>
      <w:r w:rsidR="004808C2">
        <w:t>t.j</w:t>
      </w:r>
      <w:proofErr w:type="spellEnd"/>
      <w:r w:rsidR="004808C2">
        <w:t>. 80/2000.</w:t>
      </w:r>
    </w:p>
    <w:p w14:paraId="30518415" w14:textId="13115676" w:rsidR="004808C2" w:rsidRDefault="004808C2" w:rsidP="005F112C">
      <w:pPr>
        <w:spacing w:after="119" w:line="264" w:lineRule="auto"/>
        <w:ind w:right="1"/>
      </w:pPr>
      <w:r>
        <w:t>Otvorené priestory ako chodby a sociálne zariadenia je možné považovať za výlučne nehospodárskeho charakteru, celkovo predstavujú 500 m2. Do tejto kategórie je možné zaradiť aj sklad materiálu, ktorý slúži výlučne na účely skladovania materiálu potrebného pri poskytovaní služieb účastníkom pri programoch KC.</w:t>
      </w:r>
    </w:p>
    <w:p w14:paraId="34263120" w14:textId="77777777" w:rsidR="006E31FB" w:rsidRDefault="008C282E" w:rsidP="005F112C">
      <w:pPr>
        <w:spacing w:after="119" w:line="264" w:lineRule="auto"/>
        <w:ind w:right="1"/>
      </w:pPr>
      <w:r>
        <w:t xml:space="preserve">KC vedie evidenciu využitia kapacity na komerčné účely, aby nedošlo k prekročeniu limitu 20%. </w:t>
      </w:r>
      <w:r w:rsidR="003B07E3">
        <w:t xml:space="preserve">Minimálna doba prenájmu malej a veľkej sály je pol dňa, resp. prístup k zariadeniam v ateliéri alebo dielni je pol dňa, </w:t>
      </w:r>
      <w:proofErr w:type="spellStart"/>
      <w:r w:rsidR="003B07E3">
        <w:t>t.j</w:t>
      </w:r>
      <w:proofErr w:type="spellEnd"/>
      <w:r w:rsidR="003B07E3">
        <w:t xml:space="preserve">. 4 hodiny. V prípade výpočtu komerčného využívania kapacity KC sa pri prenájme sál zohľadňuje v úvode spomínaný časopriestor, teda počet dní a výmera konkrétnej sály. V prípade prenájmu zariadení, resp. komerčného prístupu do </w:t>
      </w:r>
      <w:proofErr w:type="spellStart"/>
      <w:r w:rsidR="003B07E3">
        <w:t>ateliéra</w:t>
      </w:r>
      <w:proofErr w:type="spellEnd"/>
      <w:r w:rsidR="003B07E3">
        <w:t xml:space="preserve"> alebo dielne </w:t>
      </w:r>
      <w:r w:rsidR="006E31FB">
        <w:t xml:space="preserve">sa pri určení plochy berie do úvahy aj počet osôb, ktoré ateliér, resp. dielňu využívajú, </w:t>
      </w:r>
      <w:proofErr w:type="spellStart"/>
      <w:r w:rsidR="006E31FB">
        <w:t>t.j</w:t>
      </w:r>
      <w:proofErr w:type="spellEnd"/>
      <w:r w:rsidR="006E31FB">
        <w:t xml:space="preserve">. v prípade, že ateliér, resp. do ateliéru na komerčnom základe využijú štyri osoby, pričom dve na celodennú prácu a dve po pol dni, znamená to, že v danom dni bola kapacita využitá na 50% a v tejto miere aj vstupuje do výpočtu komerčného využitia infraštruktúry KC, </w:t>
      </w:r>
      <w:proofErr w:type="spellStart"/>
      <w:r w:rsidR="006E31FB">
        <w:t>t.j</w:t>
      </w:r>
      <w:proofErr w:type="spellEnd"/>
      <w:r w:rsidR="006E31FB">
        <w:t xml:space="preserve">. ako 100 </w:t>
      </w:r>
      <w:r w:rsidR="006E31FB" w:rsidRPr="006E31FB">
        <w:t>m</w:t>
      </w:r>
      <w:r w:rsidR="006E31FB" w:rsidRPr="005F112C">
        <w:rPr>
          <w:vertAlign w:val="superscript"/>
        </w:rPr>
        <w:t>2</w:t>
      </w:r>
      <w:r w:rsidR="006E31FB">
        <w:t xml:space="preserve"> v daný deň.</w:t>
      </w:r>
    </w:p>
    <w:p w14:paraId="6FD93A85" w14:textId="791F773D" w:rsidR="0036642B" w:rsidRDefault="00F778B8" w:rsidP="005F112C">
      <w:pPr>
        <w:pStyle w:val="Nadpis1"/>
        <w:spacing w:before="480" w:after="240" w:line="247" w:lineRule="auto"/>
        <w:ind w:left="703" w:hanging="357"/>
      </w:pPr>
      <w:bookmarkStart w:id="9" w:name="_Toc93282726"/>
      <w:bookmarkStart w:id="10" w:name="_Toc93282727"/>
      <w:bookmarkStart w:id="11" w:name="_Toc93282728"/>
      <w:bookmarkStart w:id="12" w:name="_Toc93282729"/>
      <w:bookmarkStart w:id="13" w:name="_Toc93282730"/>
      <w:bookmarkStart w:id="14" w:name="_Toc93282731"/>
      <w:bookmarkStart w:id="15" w:name="_Toc93282732"/>
      <w:bookmarkStart w:id="16" w:name="_Toc93282733"/>
      <w:bookmarkStart w:id="17" w:name="_Toc94025984"/>
      <w:bookmarkEnd w:id="9"/>
      <w:bookmarkEnd w:id="10"/>
      <w:bookmarkEnd w:id="11"/>
      <w:bookmarkEnd w:id="12"/>
      <w:bookmarkEnd w:id="13"/>
      <w:bookmarkEnd w:id="14"/>
      <w:bookmarkEnd w:id="15"/>
      <w:bookmarkEnd w:id="16"/>
      <w:r>
        <w:t>MONITORING KOMERČNÉHO</w:t>
      </w:r>
      <w:r w:rsidR="00E31775">
        <w:t xml:space="preserve"> VYUŽITIA INFRAŠTRUKTÚRY</w:t>
      </w:r>
      <w:bookmarkEnd w:id="17"/>
      <w:r w:rsidR="00E31775">
        <w:t xml:space="preserve"> </w:t>
      </w:r>
    </w:p>
    <w:p w14:paraId="652D106F" w14:textId="394EA61C" w:rsidR="0036642B" w:rsidRDefault="00E31775" w:rsidP="005F112C">
      <w:pPr>
        <w:spacing w:after="122" w:line="259" w:lineRule="auto"/>
        <w:ind w:left="0" w:firstLine="0"/>
        <w:jc w:val="left"/>
      </w:pPr>
      <w:r>
        <w:rPr>
          <w:b/>
        </w:rPr>
        <w:t xml:space="preserve">Podmienky pre </w:t>
      </w:r>
      <w:r w:rsidR="006E31FB">
        <w:rPr>
          <w:b/>
        </w:rPr>
        <w:t xml:space="preserve">komerčné </w:t>
      </w:r>
      <w:r>
        <w:rPr>
          <w:b/>
        </w:rPr>
        <w:t>využívanie infraštruktúry</w:t>
      </w:r>
      <w:r>
        <w:t xml:space="preserve">: </w:t>
      </w:r>
    </w:p>
    <w:p w14:paraId="0CDC66C4" w14:textId="661BF606" w:rsidR="0036642B" w:rsidRDefault="00E31775">
      <w:pPr>
        <w:ind w:left="713" w:hanging="355"/>
      </w:pPr>
      <w:r>
        <w:rPr>
          <w:rFonts w:ascii="Segoe UI Symbol" w:eastAsia="Segoe UI Symbol" w:hAnsi="Segoe UI Symbol" w:cs="Segoe UI Symbol"/>
          <w:color w:val="4EB7A8"/>
        </w:rPr>
        <w:t></w:t>
      </w:r>
      <w:r>
        <w:rPr>
          <w:rFonts w:ascii="Arial" w:eastAsia="Arial" w:hAnsi="Arial" w:cs="Arial"/>
          <w:color w:val="4EB7A8"/>
        </w:rPr>
        <w:t xml:space="preserve"> </w:t>
      </w:r>
      <w:r>
        <w:t xml:space="preserve">Prenájom, ponúkané služby alebo predávané výrobky musia byť </w:t>
      </w:r>
      <w:r>
        <w:rPr>
          <w:b/>
          <w:u w:val="single" w:color="404040"/>
        </w:rPr>
        <w:t>ponúkané za trhových</w:t>
      </w:r>
      <w:r>
        <w:rPr>
          <w:b/>
        </w:rPr>
        <w:t xml:space="preserve"> </w:t>
      </w:r>
      <w:r>
        <w:rPr>
          <w:b/>
          <w:u w:val="single" w:color="404040"/>
        </w:rPr>
        <w:t>podmienok,</w:t>
      </w:r>
      <w:r>
        <w:t xml:space="preserve"> v opačnom prípade môže konanie prijímateľa zakladať neoprávnenú štátnu pomoc, s ktorou sa spája povinnosť vymáhania, resp. vrátenia NFP alebo jeho časti. </w:t>
      </w:r>
    </w:p>
    <w:p w14:paraId="7E5F2B04" w14:textId="77777777" w:rsidR="0036642B" w:rsidRDefault="00E31775">
      <w:pPr>
        <w:spacing w:after="5"/>
        <w:ind w:left="713" w:hanging="355"/>
      </w:pPr>
      <w:r>
        <w:rPr>
          <w:rFonts w:ascii="Segoe UI Symbol" w:eastAsia="Segoe UI Symbol" w:hAnsi="Segoe UI Symbol" w:cs="Segoe UI Symbol"/>
          <w:color w:val="4EB7A8"/>
        </w:rPr>
        <w:t></w:t>
      </w:r>
      <w:r>
        <w:rPr>
          <w:rFonts w:ascii="Arial" w:eastAsia="Arial" w:hAnsi="Arial" w:cs="Arial"/>
          <w:color w:val="4EB7A8"/>
        </w:rPr>
        <w:t xml:space="preserve"> </w:t>
      </w:r>
      <w:r>
        <w:t xml:space="preserve">Prijímateľ je povinný viesť oddelené účty alebo sledovať </w:t>
      </w:r>
      <w:r>
        <w:rPr>
          <w:b/>
          <w:u w:val="single" w:color="404040"/>
        </w:rPr>
        <w:t>v analytickom účtovníctve</w:t>
      </w:r>
      <w:r>
        <w:t xml:space="preserve"> oddelene komerčné a nekomerčné činnosti s cieľom predchádzať krížovému financovaniu komerčných činností cez nekomerčné. Sledovanie výdavkov a príjmov každého typu aktivity a ich monitorovanie sa musí diať na ročnej báze. Dokladom pre toto sledovanie môže byť ročná účtovná závierka prijímateľa. </w:t>
      </w:r>
    </w:p>
    <w:tbl>
      <w:tblPr>
        <w:tblStyle w:val="TableGrid"/>
        <w:tblW w:w="8763" w:type="dxa"/>
        <w:tblInd w:w="358" w:type="dxa"/>
        <w:tblLook w:val="04A0" w:firstRow="1" w:lastRow="0" w:firstColumn="1" w:lastColumn="0" w:noHBand="0" w:noVBand="1"/>
      </w:tblPr>
      <w:tblGrid>
        <w:gridCol w:w="355"/>
        <w:gridCol w:w="8408"/>
      </w:tblGrid>
      <w:tr w:rsidR="0036642B" w14:paraId="7E1E0AFA" w14:textId="77777777">
        <w:trPr>
          <w:trHeight w:val="1876"/>
        </w:trPr>
        <w:tc>
          <w:tcPr>
            <w:tcW w:w="355" w:type="dxa"/>
            <w:tcBorders>
              <w:top w:val="nil"/>
              <w:left w:val="nil"/>
              <w:bottom w:val="nil"/>
              <w:right w:val="nil"/>
            </w:tcBorders>
          </w:tcPr>
          <w:p w14:paraId="2402330A" w14:textId="77777777" w:rsidR="0036642B" w:rsidRDefault="00E31775">
            <w:pPr>
              <w:spacing w:after="0" w:line="259" w:lineRule="auto"/>
              <w:ind w:left="0" w:firstLine="0"/>
              <w:jc w:val="left"/>
            </w:pPr>
            <w:r>
              <w:rPr>
                <w:rFonts w:ascii="Segoe UI Symbol" w:eastAsia="Segoe UI Symbol" w:hAnsi="Segoe UI Symbol" w:cs="Segoe UI Symbol"/>
                <w:color w:val="4EB7A8"/>
              </w:rPr>
              <w:t></w:t>
            </w:r>
            <w:r>
              <w:rPr>
                <w:rFonts w:ascii="Arial" w:eastAsia="Arial" w:hAnsi="Arial" w:cs="Arial"/>
                <w:color w:val="4EB7A8"/>
              </w:rPr>
              <w:t xml:space="preserve"> </w:t>
            </w:r>
          </w:p>
        </w:tc>
        <w:tc>
          <w:tcPr>
            <w:tcW w:w="8408" w:type="dxa"/>
            <w:tcBorders>
              <w:top w:val="nil"/>
              <w:left w:val="nil"/>
              <w:bottom w:val="nil"/>
              <w:right w:val="nil"/>
            </w:tcBorders>
          </w:tcPr>
          <w:p w14:paraId="036CC068" w14:textId="77777777" w:rsidR="0036642B" w:rsidRDefault="00E31775">
            <w:pPr>
              <w:spacing w:after="0" w:line="259" w:lineRule="auto"/>
              <w:ind w:left="0" w:right="48" w:firstLine="0"/>
            </w:pPr>
            <w:r>
              <w:t>Informáciu o komerčnom využívaní infraštruktúry (</w:t>
            </w:r>
            <w:proofErr w:type="spellStart"/>
            <w:r>
              <w:t>t.j</w:t>
            </w:r>
            <w:proofErr w:type="spellEnd"/>
            <w:r>
              <w:t xml:space="preserve">. komerčný prenájom priestorov a technológie) uvádza prijímateľ vo výročnej, záverečnej a následnej monitorovacej správe projektu. </w:t>
            </w:r>
            <w:r>
              <w:rPr>
                <w:b/>
                <w:u w:val="single" w:color="404040"/>
              </w:rPr>
              <w:t>Dokument upravený na podmienky svojho projektu</w:t>
            </w:r>
            <w:r>
              <w:t xml:space="preserve"> predkladá prijímateľ </w:t>
            </w:r>
            <w:r>
              <w:rPr>
                <w:b/>
                <w:u w:val="single" w:color="404040"/>
              </w:rPr>
              <w:t>ako</w:t>
            </w:r>
            <w:r>
              <w:rPr>
                <w:b/>
              </w:rPr>
              <w:t xml:space="preserve"> </w:t>
            </w:r>
            <w:r>
              <w:rPr>
                <w:b/>
                <w:u w:val="single" w:color="404040"/>
              </w:rPr>
              <w:t>prílohu</w:t>
            </w:r>
            <w:r>
              <w:t xml:space="preserve"> výročnej, záverečnej a následnej monitorovacej </w:t>
            </w:r>
            <w:r>
              <w:rPr>
                <w:b/>
                <w:u w:val="single" w:color="404040"/>
              </w:rPr>
              <w:t>správy za každý kalendárny rok</w:t>
            </w:r>
            <w:r>
              <w:t xml:space="preserve"> (predchádzajúci roku predloženia monitorovacej správy), v ktorom sa infraštruktúra komerčne využívala. </w:t>
            </w:r>
          </w:p>
        </w:tc>
      </w:tr>
      <w:tr w:rsidR="0036642B" w14:paraId="49430E6C" w14:textId="77777777">
        <w:trPr>
          <w:trHeight w:val="3838"/>
        </w:trPr>
        <w:tc>
          <w:tcPr>
            <w:tcW w:w="355" w:type="dxa"/>
            <w:tcBorders>
              <w:top w:val="nil"/>
              <w:left w:val="nil"/>
              <w:bottom w:val="nil"/>
              <w:right w:val="nil"/>
            </w:tcBorders>
          </w:tcPr>
          <w:p w14:paraId="619817AC" w14:textId="77777777" w:rsidR="0036642B" w:rsidRDefault="00E31775">
            <w:pPr>
              <w:spacing w:after="0" w:line="259" w:lineRule="auto"/>
              <w:ind w:left="0" w:firstLine="0"/>
              <w:jc w:val="left"/>
            </w:pPr>
            <w:r>
              <w:rPr>
                <w:rFonts w:ascii="Segoe UI Symbol" w:eastAsia="Segoe UI Symbol" w:hAnsi="Segoe UI Symbol" w:cs="Segoe UI Symbol"/>
                <w:color w:val="4EB7A8"/>
              </w:rPr>
              <w:lastRenderedPageBreak/>
              <w:t></w:t>
            </w:r>
            <w:r>
              <w:rPr>
                <w:rFonts w:ascii="Arial" w:eastAsia="Arial" w:hAnsi="Arial" w:cs="Arial"/>
                <w:color w:val="4EB7A8"/>
              </w:rPr>
              <w:t xml:space="preserve"> </w:t>
            </w:r>
          </w:p>
        </w:tc>
        <w:tc>
          <w:tcPr>
            <w:tcW w:w="8408" w:type="dxa"/>
            <w:tcBorders>
              <w:top w:val="nil"/>
              <w:left w:val="nil"/>
              <w:bottom w:val="nil"/>
              <w:right w:val="nil"/>
            </w:tcBorders>
            <w:vAlign w:val="center"/>
          </w:tcPr>
          <w:p w14:paraId="22D10F42" w14:textId="09A04340" w:rsidR="0036642B" w:rsidRDefault="00E31775" w:rsidP="008B78D2">
            <w:pPr>
              <w:spacing w:after="0" w:line="259" w:lineRule="auto"/>
              <w:ind w:left="0" w:right="48" w:firstLine="0"/>
            </w:pPr>
            <w:r>
              <w:t xml:space="preserve">Prijímateľ musí byť </w:t>
            </w:r>
            <w:r>
              <w:rPr>
                <w:b/>
                <w:u w:val="single" w:color="404040"/>
              </w:rPr>
              <w:t xml:space="preserve">schopný jednoznačne preukázať </w:t>
            </w:r>
            <w:r w:rsidR="008B78D2">
              <w:rPr>
                <w:b/>
                <w:u w:val="single" w:color="404040"/>
              </w:rPr>
              <w:t xml:space="preserve">obmedzené  </w:t>
            </w:r>
            <w:r>
              <w:rPr>
                <w:b/>
                <w:u w:val="single" w:color="404040"/>
              </w:rPr>
              <w:t>komerčné využ</w:t>
            </w:r>
            <w:r w:rsidR="008B78D2">
              <w:rPr>
                <w:b/>
                <w:u w:val="single" w:color="404040"/>
              </w:rPr>
              <w:t>ívanie</w:t>
            </w:r>
            <w:r>
              <w:t xml:space="preserve"> infraštruktúry a to počas celého ob</w:t>
            </w:r>
            <w:r w:rsidR="008B78D2">
              <w:t>d</w:t>
            </w:r>
            <w:r>
              <w:t xml:space="preserve">obia </w:t>
            </w:r>
            <w:r w:rsidR="008B78D2">
              <w:t>platnosti a účinnosti zmluvy o </w:t>
            </w:r>
            <w:r w:rsidR="005F112C">
              <w:t>poskytnutí</w:t>
            </w:r>
            <w:r w:rsidR="008B78D2">
              <w:t xml:space="preserve"> NFP</w:t>
            </w:r>
            <w:r>
              <w:t>. Monitorovanie dodržiavania limitu 20% ročnej kapacity zo strany prijímateľa však má prebiehať počas celej doby</w:t>
            </w:r>
            <w:r w:rsidR="008B78D2">
              <w:t xml:space="preserve"> </w:t>
            </w:r>
            <w:r>
              <w:t xml:space="preserve">odpisovania podporenej infraštruktúry. Na preukázanie </w:t>
            </w:r>
            <w:r w:rsidR="008B78D2">
              <w:t xml:space="preserve">dodržiavania obmedzeného </w:t>
            </w:r>
            <w:r>
              <w:t>komerčného využívania infraštruktúry prijímateľ uchováva podpornú dokumentáciu (napr. účtovné záznamy, rozvrh učebne, časový harmonogram komerčného prenájmu, zmluvy o prenájme a pod.). Prijímateľ sleduje využitie kapacity vždy pre konkrétny kalendárny rok. Sprostredkovateľsk</w:t>
            </w:r>
            <w:r w:rsidR="008B78D2">
              <w:t>ý</w:t>
            </w:r>
            <w:r>
              <w:t xml:space="preserve"> orgán pre IROP PO3 je oprávnený v</w:t>
            </w:r>
            <w:r w:rsidR="008B78D2">
              <w:t> </w:t>
            </w:r>
            <w:r>
              <w:t xml:space="preserve">priebehu finančnej kontroly na mieste vyžiadať si tieto dokumenty a prijímateľ je povinný ich predložiť. </w:t>
            </w:r>
          </w:p>
        </w:tc>
      </w:tr>
      <w:tr w:rsidR="0036642B" w14:paraId="610FAA9C" w14:textId="77777777">
        <w:trPr>
          <w:trHeight w:val="1059"/>
        </w:trPr>
        <w:tc>
          <w:tcPr>
            <w:tcW w:w="355" w:type="dxa"/>
            <w:tcBorders>
              <w:top w:val="nil"/>
              <w:left w:val="nil"/>
              <w:bottom w:val="nil"/>
              <w:right w:val="nil"/>
            </w:tcBorders>
          </w:tcPr>
          <w:p w14:paraId="2C8D2EF6" w14:textId="77777777" w:rsidR="0036642B" w:rsidRDefault="00E31775">
            <w:pPr>
              <w:spacing w:after="0" w:line="259" w:lineRule="auto"/>
              <w:ind w:left="0" w:firstLine="0"/>
              <w:jc w:val="left"/>
            </w:pPr>
            <w:r>
              <w:rPr>
                <w:rFonts w:ascii="Segoe UI Symbol" w:eastAsia="Segoe UI Symbol" w:hAnsi="Segoe UI Symbol" w:cs="Segoe UI Symbol"/>
                <w:color w:val="4EB7A8"/>
              </w:rPr>
              <w:t></w:t>
            </w:r>
            <w:r>
              <w:rPr>
                <w:rFonts w:ascii="Arial" w:eastAsia="Arial" w:hAnsi="Arial" w:cs="Arial"/>
                <w:color w:val="4EB7A8"/>
              </w:rPr>
              <w:t xml:space="preserve"> </w:t>
            </w:r>
          </w:p>
        </w:tc>
        <w:tc>
          <w:tcPr>
            <w:tcW w:w="8408" w:type="dxa"/>
            <w:tcBorders>
              <w:top w:val="nil"/>
              <w:left w:val="nil"/>
              <w:bottom w:val="nil"/>
              <w:right w:val="nil"/>
            </w:tcBorders>
            <w:vAlign w:val="center"/>
          </w:tcPr>
          <w:p w14:paraId="3F4F5228" w14:textId="77777777" w:rsidR="0036642B" w:rsidRDefault="00E31775">
            <w:pPr>
              <w:spacing w:after="0" w:line="259" w:lineRule="auto"/>
              <w:ind w:left="0" w:firstLine="0"/>
              <w:jc w:val="left"/>
            </w:pPr>
            <w:r>
              <w:t xml:space="preserve">V prípade, že u jedného prijímateľa boli podporené </w:t>
            </w:r>
            <w:r>
              <w:rPr>
                <w:b/>
                <w:u w:val="single" w:color="404040"/>
              </w:rPr>
              <w:t>viaceré infraštruktúry</w:t>
            </w:r>
            <w:r>
              <w:t xml:space="preserve">, ktoré sú používané na účely komerčného prenájmu, </w:t>
            </w:r>
            <w:r>
              <w:rPr>
                <w:b/>
                <w:u w:val="single" w:color="404040"/>
              </w:rPr>
              <w:t>stanovené podmienky musí spĺňať každá</w:t>
            </w:r>
            <w:r>
              <w:rPr>
                <w:b/>
              </w:rPr>
              <w:t xml:space="preserve"> </w:t>
            </w:r>
            <w:r>
              <w:rPr>
                <w:b/>
                <w:u w:val="single" w:color="404040"/>
              </w:rPr>
              <w:t>oddelene</w:t>
            </w:r>
            <w:r>
              <w:t xml:space="preserve">. </w:t>
            </w:r>
          </w:p>
        </w:tc>
      </w:tr>
      <w:tr w:rsidR="0036642B" w14:paraId="256D15C3" w14:textId="77777777">
        <w:trPr>
          <w:trHeight w:val="1039"/>
        </w:trPr>
        <w:tc>
          <w:tcPr>
            <w:tcW w:w="355" w:type="dxa"/>
            <w:tcBorders>
              <w:top w:val="nil"/>
              <w:left w:val="nil"/>
              <w:bottom w:val="nil"/>
              <w:right w:val="nil"/>
            </w:tcBorders>
          </w:tcPr>
          <w:p w14:paraId="311119F5" w14:textId="77777777" w:rsidR="0036642B" w:rsidRDefault="00E31775">
            <w:pPr>
              <w:spacing w:after="0" w:line="259" w:lineRule="auto"/>
              <w:ind w:left="0" w:firstLine="0"/>
              <w:jc w:val="left"/>
            </w:pPr>
            <w:r>
              <w:rPr>
                <w:rFonts w:ascii="Segoe UI Symbol" w:eastAsia="Segoe UI Symbol" w:hAnsi="Segoe UI Symbol" w:cs="Segoe UI Symbol"/>
                <w:color w:val="4EB7A8"/>
              </w:rPr>
              <w:t></w:t>
            </w:r>
            <w:r>
              <w:rPr>
                <w:rFonts w:ascii="Arial" w:eastAsia="Arial" w:hAnsi="Arial" w:cs="Arial"/>
                <w:color w:val="4EB7A8"/>
              </w:rPr>
              <w:t xml:space="preserve"> </w:t>
            </w:r>
          </w:p>
        </w:tc>
        <w:tc>
          <w:tcPr>
            <w:tcW w:w="8408" w:type="dxa"/>
            <w:tcBorders>
              <w:top w:val="nil"/>
              <w:left w:val="nil"/>
              <w:bottom w:val="nil"/>
              <w:right w:val="nil"/>
            </w:tcBorders>
          </w:tcPr>
          <w:p w14:paraId="781DAC6F" w14:textId="422DA69B" w:rsidR="0036642B" w:rsidRDefault="00E31775" w:rsidP="008B78D2">
            <w:pPr>
              <w:spacing w:after="0" w:line="259" w:lineRule="auto"/>
              <w:ind w:left="0" w:right="51" w:firstLine="0"/>
            </w:pPr>
            <w:r>
              <w:t xml:space="preserve">Príjmy z komerčnej činnosti musia byť </w:t>
            </w:r>
            <w:r>
              <w:rPr>
                <w:b/>
                <w:u w:val="single" w:color="404040"/>
              </w:rPr>
              <w:t xml:space="preserve">kumulované vo Fonde </w:t>
            </w:r>
            <w:r>
              <w:t xml:space="preserve">udržateľnosti / Fonde budúcej prevádzky kreatívneho centra a použité na pokrytie prevádzkových výdavkov s cieľom zabezpečiť dodržanie účelu na ktorý bolo kreatívne centrum zriadené. </w:t>
            </w:r>
          </w:p>
        </w:tc>
      </w:tr>
      <w:tr w:rsidR="0036642B" w14:paraId="3CBC672C" w14:textId="77777777">
        <w:trPr>
          <w:trHeight w:val="333"/>
        </w:trPr>
        <w:tc>
          <w:tcPr>
            <w:tcW w:w="355" w:type="dxa"/>
            <w:tcBorders>
              <w:top w:val="nil"/>
              <w:left w:val="nil"/>
              <w:bottom w:val="nil"/>
              <w:right w:val="nil"/>
            </w:tcBorders>
            <w:vAlign w:val="bottom"/>
          </w:tcPr>
          <w:p w14:paraId="5128BE25" w14:textId="77777777" w:rsidR="0036642B" w:rsidRDefault="00E31775">
            <w:pPr>
              <w:spacing w:after="0" w:line="259" w:lineRule="auto"/>
              <w:ind w:left="0" w:firstLine="0"/>
              <w:jc w:val="left"/>
            </w:pPr>
            <w:r>
              <w:rPr>
                <w:rFonts w:ascii="Segoe UI Symbol" w:eastAsia="Segoe UI Symbol" w:hAnsi="Segoe UI Symbol" w:cs="Segoe UI Symbol"/>
                <w:color w:val="4EB7A8"/>
              </w:rPr>
              <w:t></w:t>
            </w:r>
            <w:r>
              <w:rPr>
                <w:rFonts w:ascii="Arial" w:eastAsia="Arial" w:hAnsi="Arial" w:cs="Arial"/>
                <w:color w:val="4EB7A8"/>
              </w:rPr>
              <w:t xml:space="preserve"> </w:t>
            </w:r>
          </w:p>
        </w:tc>
        <w:tc>
          <w:tcPr>
            <w:tcW w:w="8408" w:type="dxa"/>
            <w:tcBorders>
              <w:top w:val="nil"/>
              <w:left w:val="nil"/>
              <w:bottom w:val="nil"/>
              <w:right w:val="nil"/>
            </w:tcBorders>
            <w:vAlign w:val="bottom"/>
          </w:tcPr>
          <w:p w14:paraId="231376AC" w14:textId="77777777" w:rsidR="0036642B" w:rsidRDefault="00E31775">
            <w:pPr>
              <w:spacing w:after="0" w:line="259" w:lineRule="auto"/>
              <w:ind w:left="0" w:firstLine="0"/>
            </w:pPr>
            <w:r>
              <w:t xml:space="preserve">Prístup k infraštruktúre bude otvorený pre viacero používateľov a bude sa poskytovať na </w:t>
            </w:r>
          </w:p>
        </w:tc>
      </w:tr>
    </w:tbl>
    <w:p w14:paraId="22CECFCA" w14:textId="77777777" w:rsidR="0036642B" w:rsidRDefault="00E31775">
      <w:pPr>
        <w:spacing w:after="131" w:line="267" w:lineRule="auto"/>
        <w:ind w:left="723"/>
        <w:jc w:val="left"/>
      </w:pPr>
      <w:r>
        <w:rPr>
          <w:b/>
          <w:u w:val="single" w:color="404040"/>
        </w:rPr>
        <w:t>transparentnom a nediskriminačnom základe</w:t>
      </w:r>
      <w:r>
        <w:t xml:space="preserve">. </w:t>
      </w:r>
    </w:p>
    <w:p w14:paraId="6812BF35" w14:textId="20183954" w:rsidR="0036642B" w:rsidRDefault="00E31775" w:rsidP="005F112C">
      <w:pPr>
        <w:spacing w:after="309"/>
        <w:ind w:left="-5"/>
      </w:pPr>
      <w:r>
        <w:t xml:space="preserve"> </w:t>
      </w:r>
    </w:p>
    <w:sectPr w:rsidR="0036642B" w:rsidSect="000B3BAB">
      <w:headerReference w:type="default" r:id="rId17"/>
      <w:footerReference w:type="even" r:id="rId18"/>
      <w:footerReference w:type="default" r:id="rId19"/>
      <w:footerReference w:type="first" r:id="rId20"/>
      <w:pgSz w:w="11906" w:h="16838"/>
      <w:pgMar w:top="1418" w:right="1274" w:bottom="1132" w:left="1419" w:header="708" w:footer="43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A05085" w14:textId="77777777" w:rsidR="00EE6423" w:rsidRDefault="00EE6423">
      <w:pPr>
        <w:spacing w:after="0" w:line="240" w:lineRule="auto"/>
      </w:pPr>
      <w:r>
        <w:separator/>
      </w:r>
    </w:p>
  </w:endnote>
  <w:endnote w:type="continuationSeparator" w:id="0">
    <w:p w14:paraId="17885B04" w14:textId="77777777" w:rsidR="00EE6423" w:rsidRDefault="00EE64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ambria">
    <w:altName w:val="Palatino Linotype"/>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AFF" w:usb1="C0007843"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94316" w14:textId="77777777" w:rsidR="004808C2" w:rsidRDefault="004808C2">
    <w:pPr>
      <w:spacing w:after="0" w:line="259" w:lineRule="auto"/>
      <w:ind w:left="0" w:right="3" w:firstLine="0"/>
      <w:jc w:val="right"/>
    </w:pPr>
    <w:r>
      <w:fldChar w:fldCharType="begin"/>
    </w:r>
    <w:r>
      <w:instrText xml:space="preserve"> PAGE   \* MERGEFORMAT </w:instrText>
    </w:r>
    <w:r>
      <w:fldChar w:fldCharType="separate"/>
    </w:r>
    <w:r>
      <w:rPr>
        <w:sz w:val="18"/>
      </w:rPr>
      <w:t>1</w:t>
    </w:r>
    <w:r>
      <w:rPr>
        <w:sz w:val="18"/>
      </w:rPr>
      <w:fldChar w:fldCharType="end"/>
    </w:r>
    <w:r>
      <w:rPr>
        <w:color w:val="000000"/>
      </w:rPr>
      <w:t xml:space="preserve"> </w:t>
    </w:r>
  </w:p>
  <w:p w14:paraId="675FA01F" w14:textId="77777777" w:rsidR="004808C2" w:rsidRDefault="004808C2">
    <w:pPr>
      <w:spacing w:after="0" w:line="259" w:lineRule="auto"/>
      <w:ind w:left="0" w:firstLine="0"/>
      <w:jc w:val="left"/>
    </w:pPr>
    <w:r>
      <w:rPr>
        <w:color w:val="00000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4635B" w14:textId="6E834C0C" w:rsidR="004808C2" w:rsidRDefault="004808C2">
    <w:pPr>
      <w:spacing w:after="0" w:line="259" w:lineRule="auto"/>
      <w:ind w:left="0" w:right="3" w:firstLine="0"/>
      <w:jc w:val="right"/>
    </w:pPr>
    <w:r>
      <w:fldChar w:fldCharType="begin"/>
    </w:r>
    <w:r>
      <w:instrText xml:space="preserve"> PAGE   \* MERGEFORMAT </w:instrText>
    </w:r>
    <w:r>
      <w:fldChar w:fldCharType="separate"/>
    </w:r>
    <w:r w:rsidR="006814E5" w:rsidRPr="006814E5">
      <w:rPr>
        <w:noProof/>
        <w:sz w:val="18"/>
      </w:rPr>
      <w:t>6</w:t>
    </w:r>
    <w:r>
      <w:rPr>
        <w:sz w:val="18"/>
      </w:rPr>
      <w:fldChar w:fldCharType="end"/>
    </w:r>
    <w:r>
      <w:rPr>
        <w:color w:val="000000"/>
      </w:rPr>
      <w:t xml:space="preserve"> </w:t>
    </w:r>
  </w:p>
  <w:p w14:paraId="4214770B" w14:textId="77777777" w:rsidR="004808C2" w:rsidRDefault="004808C2">
    <w:pPr>
      <w:spacing w:after="0" w:line="259" w:lineRule="auto"/>
      <w:ind w:left="0" w:firstLine="0"/>
      <w:jc w:val="left"/>
    </w:pPr>
    <w:r>
      <w:rPr>
        <w:color w:val="00000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BB9DE" w14:textId="77777777" w:rsidR="004808C2" w:rsidRDefault="004808C2">
    <w:pPr>
      <w:spacing w:after="0" w:line="259" w:lineRule="auto"/>
      <w:ind w:left="0" w:right="3" w:firstLine="0"/>
      <w:jc w:val="right"/>
    </w:pPr>
    <w:r>
      <w:fldChar w:fldCharType="begin"/>
    </w:r>
    <w:r>
      <w:instrText xml:space="preserve"> PAGE   \* MERGEFORMAT </w:instrText>
    </w:r>
    <w:r>
      <w:fldChar w:fldCharType="separate"/>
    </w:r>
    <w:r>
      <w:rPr>
        <w:sz w:val="18"/>
      </w:rPr>
      <w:t>1</w:t>
    </w:r>
    <w:r>
      <w:rPr>
        <w:sz w:val="18"/>
      </w:rPr>
      <w:fldChar w:fldCharType="end"/>
    </w:r>
    <w:r>
      <w:rPr>
        <w:color w:val="000000"/>
      </w:rPr>
      <w:t xml:space="preserve"> </w:t>
    </w:r>
  </w:p>
  <w:p w14:paraId="7436579B" w14:textId="77777777" w:rsidR="004808C2" w:rsidRDefault="004808C2">
    <w:pPr>
      <w:spacing w:after="0" w:line="259" w:lineRule="auto"/>
      <w:ind w:left="0" w:firstLine="0"/>
      <w:jc w:val="left"/>
    </w:pPr>
    <w:r>
      <w:rPr>
        <w:color w:val="00000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4C288" w14:textId="77777777" w:rsidR="00EE6423" w:rsidRDefault="00EE6423">
      <w:pPr>
        <w:spacing w:after="0" w:line="275" w:lineRule="auto"/>
        <w:ind w:left="0" w:firstLine="0"/>
        <w:jc w:val="left"/>
      </w:pPr>
      <w:r>
        <w:separator/>
      </w:r>
    </w:p>
  </w:footnote>
  <w:footnote w:type="continuationSeparator" w:id="0">
    <w:p w14:paraId="57CFA33A" w14:textId="77777777" w:rsidR="00EE6423" w:rsidRDefault="00EE6423">
      <w:pPr>
        <w:spacing w:after="0" w:line="275" w:lineRule="auto"/>
        <w:ind w:left="0" w:firstLine="0"/>
        <w:jc w:val="left"/>
      </w:pPr>
      <w:r>
        <w:continuationSeparator/>
      </w:r>
    </w:p>
  </w:footnote>
  <w:footnote w:id="1">
    <w:p w14:paraId="38115513" w14:textId="77777777" w:rsidR="004808C2" w:rsidRPr="006474FE" w:rsidRDefault="004808C2" w:rsidP="00D530F0">
      <w:pPr>
        <w:pStyle w:val="footnotedescription"/>
        <w:tabs>
          <w:tab w:val="left" w:pos="142"/>
        </w:tabs>
        <w:spacing w:after="0" w:line="240" w:lineRule="auto"/>
        <w:ind w:left="142" w:hanging="142"/>
        <w:rPr>
          <w:i w:val="0"/>
        </w:rPr>
      </w:pPr>
      <w:r w:rsidRPr="000E28E6">
        <w:rPr>
          <w:rStyle w:val="footnotemark"/>
        </w:rPr>
        <w:footnoteRef/>
      </w:r>
      <w:r w:rsidRPr="006474FE">
        <w:rPr>
          <w:i w:val="0"/>
        </w:rPr>
        <w:tab/>
        <w:t>Zdroj</w:t>
      </w:r>
      <w:hyperlink r:id="rId1">
        <w:r w:rsidRPr="006474FE">
          <w:rPr>
            <w:i w:val="0"/>
          </w:rPr>
          <w:t xml:space="preserve">: </w:t>
        </w:r>
      </w:hyperlink>
      <w:hyperlink r:id="rId2">
        <w:r w:rsidRPr="006474FE">
          <w:rPr>
            <w:i w:val="0"/>
            <w:color w:val="0563C1"/>
            <w:u w:val="single" w:color="0563C1"/>
          </w:rPr>
          <w:t>http://eur</w:t>
        </w:r>
      </w:hyperlink>
      <w:hyperlink r:id="rId3">
        <w:r w:rsidRPr="006474FE">
          <w:rPr>
            <w:i w:val="0"/>
            <w:color w:val="0563C1"/>
            <w:u w:val="single" w:color="0563C1"/>
          </w:rPr>
          <w:t>-</w:t>
        </w:r>
      </w:hyperlink>
      <w:hyperlink r:id="rId4">
        <w:r w:rsidRPr="006474FE">
          <w:rPr>
            <w:i w:val="0"/>
            <w:color w:val="0563C1"/>
            <w:u w:val="single" w:color="0563C1"/>
          </w:rPr>
          <w:t>lex.europa.eu/legal</w:t>
        </w:r>
      </w:hyperlink>
      <w:hyperlink r:id="rId5">
        <w:r w:rsidRPr="006474FE">
          <w:rPr>
            <w:i w:val="0"/>
            <w:color w:val="0563C1"/>
            <w:u w:val="single" w:color="0563C1"/>
          </w:rPr>
          <w:t>-</w:t>
        </w:r>
      </w:hyperlink>
      <w:hyperlink r:id="rId6">
        <w:r w:rsidRPr="006474FE">
          <w:rPr>
            <w:i w:val="0"/>
            <w:color w:val="0563C1"/>
            <w:u w:val="single" w:color="0563C1"/>
          </w:rPr>
          <w:t>content/EN/TXT/?uri=OJ%3AC%3A2016%3A262%3ATOC</w:t>
        </w:r>
      </w:hyperlink>
      <w:hyperlink r:id="rId7">
        <w:r w:rsidRPr="006474FE">
          <w:rPr>
            <w:i w:val="0"/>
          </w:rPr>
          <w:t xml:space="preserve"> </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92BF3" w14:textId="29DF8CF3" w:rsidR="000B3BAB" w:rsidRPr="001414CF" w:rsidRDefault="000B3BAB" w:rsidP="000B3BAB">
    <w:pPr>
      <w:rPr>
        <w:rFonts w:ascii="Arial Narrow" w:hAnsi="Arial Narrow"/>
        <w:bCs/>
        <w:caps/>
        <w:sz w:val="20"/>
        <w:szCs w:val="20"/>
      </w:rPr>
    </w:pPr>
    <w:r w:rsidRPr="001414CF">
      <w:rPr>
        <w:rFonts w:ascii="Arial Narrow" w:hAnsi="Arial Narrow"/>
        <w:sz w:val="20"/>
        <w:szCs w:val="20"/>
      </w:rPr>
      <w:t>Príloha</w:t>
    </w:r>
    <w:r>
      <w:rPr>
        <w:rFonts w:ascii="Arial Narrow" w:hAnsi="Arial Narrow"/>
        <w:sz w:val="20"/>
        <w:szCs w:val="20"/>
      </w:rPr>
      <w:t xml:space="preserve"> č. </w:t>
    </w:r>
    <w:r w:rsidR="002E7B9B">
      <w:rPr>
        <w:rFonts w:ascii="Arial Narrow" w:hAnsi="Arial Narrow"/>
        <w:sz w:val="20"/>
        <w:szCs w:val="20"/>
      </w:rPr>
      <w:t>26</w:t>
    </w:r>
    <w:r>
      <w:rPr>
        <w:rFonts w:ascii="Arial Narrow" w:hAnsi="Arial Narrow"/>
        <w:sz w:val="20"/>
        <w:szCs w:val="20"/>
      </w:rPr>
      <w:t xml:space="preserve"> Podmienky doplnkového využitia infraštruktúry Kreatívneho centra</w:t>
    </w:r>
  </w:p>
  <w:p w14:paraId="1AE7924C" w14:textId="668E86E0" w:rsidR="000B3BAB" w:rsidRPr="000B3BAB" w:rsidRDefault="000B3BAB" w:rsidP="000B3BA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409CD"/>
    <w:multiLevelType w:val="hybridMultilevel"/>
    <w:tmpl w:val="7BC4B1AE"/>
    <w:lvl w:ilvl="0" w:tplc="0EFC3E02">
      <w:start w:val="10"/>
      <w:numFmt w:val="decimal"/>
      <w:lvlText w:val="%1"/>
      <w:lvlJc w:val="left"/>
      <w:pPr>
        <w:ind w:left="161"/>
      </w:pPr>
      <w:rPr>
        <w:rFonts w:ascii="Calibri" w:eastAsia="Calibri" w:hAnsi="Calibri" w:cs="Calibri"/>
        <w:b w:val="0"/>
        <w:i/>
        <w:iCs/>
        <w:strike w:val="0"/>
        <w:dstrike w:val="0"/>
        <w:color w:val="000000"/>
        <w:sz w:val="18"/>
        <w:szCs w:val="18"/>
        <w:u w:val="none" w:color="000000"/>
        <w:bdr w:val="none" w:sz="0" w:space="0" w:color="auto"/>
        <w:shd w:val="clear" w:color="auto" w:fill="auto"/>
        <w:vertAlign w:val="superscript"/>
      </w:rPr>
    </w:lvl>
    <w:lvl w:ilvl="1" w:tplc="53569712">
      <w:start w:val="1"/>
      <w:numFmt w:val="lowerLetter"/>
      <w:lvlText w:val="%2"/>
      <w:lvlJc w:val="left"/>
      <w:pPr>
        <w:ind w:left="1080"/>
      </w:pPr>
      <w:rPr>
        <w:rFonts w:ascii="Calibri" w:eastAsia="Calibri" w:hAnsi="Calibri" w:cs="Calibri"/>
        <w:b w:val="0"/>
        <w:i/>
        <w:iCs/>
        <w:strike w:val="0"/>
        <w:dstrike w:val="0"/>
        <w:color w:val="000000"/>
        <w:sz w:val="18"/>
        <w:szCs w:val="18"/>
        <w:u w:val="none" w:color="000000"/>
        <w:bdr w:val="none" w:sz="0" w:space="0" w:color="auto"/>
        <w:shd w:val="clear" w:color="auto" w:fill="auto"/>
        <w:vertAlign w:val="superscript"/>
      </w:rPr>
    </w:lvl>
    <w:lvl w:ilvl="2" w:tplc="FAD66E02">
      <w:start w:val="1"/>
      <w:numFmt w:val="lowerRoman"/>
      <w:lvlText w:val="%3"/>
      <w:lvlJc w:val="left"/>
      <w:pPr>
        <w:ind w:left="1800"/>
      </w:pPr>
      <w:rPr>
        <w:rFonts w:ascii="Calibri" w:eastAsia="Calibri" w:hAnsi="Calibri" w:cs="Calibri"/>
        <w:b w:val="0"/>
        <w:i/>
        <w:iCs/>
        <w:strike w:val="0"/>
        <w:dstrike w:val="0"/>
        <w:color w:val="000000"/>
        <w:sz w:val="18"/>
        <w:szCs w:val="18"/>
        <w:u w:val="none" w:color="000000"/>
        <w:bdr w:val="none" w:sz="0" w:space="0" w:color="auto"/>
        <w:shd w:val="clear" w:color="auto" w:fill="auto"/>
        <w:vertAlign w:val="superscript"/>
      </w:rPr>
    </w:lvl>
    <w:lvl w:ilvl="3" w:tplc="D3EEE106">
      <w:start w:val="1"/>
      <w:numFmt w:val="decimal"/>
      <w:lvlText w:val="%4"/>
      <w:lvlJc w:val="left"/>
      <w:pPr>
        <w:ind w:left="2520"/>
      </w:pPr>
      <w:rPr>
        <w:rFonts w:ascii="Calibri" w:eastAsia="Calibri" w:hAnsi="Calibri" w:cs="Calibri"/>
        <w:b w:val="0"/>
        <w:i/>
        <w:iCs/>
        <w:strike w:val="0"/>
        <w:dstrike w:val="0"/>
        <w:color w:val="000000"/>
        <w:sz w:val="18"/>
        <w:szCs w:val="18"/>
        <w:u w:val="none" w:color="000000"/>
        <w:bdr w:val="none" w:sz="0" w:space="0" w:color="auto"/>
        <w:shd w:val="clear" w:color="auto" w:fill="auto"/>
        <w:vertAlign w:val="superscript"/>
      </w:rPr>
    </w:lvl>
    <w:lvl w:ilvl="4" w:tplc="2774DE9E">
      <w:start w:val="1"/>
      <w:numFmt w:val="lowerLetter"/>
      <w:lvlText w:val="%5"/>
      <w:lvlJc w:val="left"/>
      <w:pPr>
        <w:ind w:left="3240"/>
      </w:pPr>
      <w:rPr>
        <w:rFonts w:ascii="Calibri" w:eastAsia="Calibri" w:hAnsi="Calibri" w:cs="Calibri"/>
        <w:b w:val="0"/>
        <w:i/>
        <w:iCs/>
        <w:strike w:val="0"/>
        <w:dstrike w:val="0"/>
        <w:color w:val="000000"/>
        <w:sz w:val="18"/>
        <w:szCs w:val="18"/>
        <w:u w:val="none" w:color="000000"/>
        <w:bdr w:val="none" w:sz="0" w:space="0" w:color="auto"/>
        <w:shd w:val="clear" w:color="auto" w:fill="auto"/>
        <w:vertAlign w:val="superscript"/>
      </w:rPr>
    </w:lvl>
    <w:lvl w:ilvl="5" w:tplc="0B0299C0">
      <w:start w:val="1"/>
      <w:numFmt w:val="lowerRoman"/>
      <w:lvlText w:val="%6"/>
      <w:lvlJc w:val="left"/>
      <w:pPr>
        <w:ind w:left="3960"/>
      </w:pPr>
      <w:rPr>
        <w:rFonts w:ascii="Calibri" w:eastAsia="Calibri" w:hAnsi="Calibri" w:cs="Calibri"/>
        <w:b w:val="0"/>
        <w:i/>
        <w:iCs/>
        <w:strike w:val="0"/>
        <w:dstrike w:val="0"/>
        <w:color w:val="000000"/>
        <w:sz w:val="18"/>
        <w:szCs w:val="18"/>
        <w:u w:val="none" w:color="000000"/>
        <w:bdr w:val="none" w:sz="0" w:space="0" w:color="auto"/>
        <w:shd w:val="clear" w:color="auto" w:fill="auto"/>
        <w:vertAlign w:val="superscript"/>
      </w:rPr>
    </w:lvl>
    <w:lvl w:ilvl="6" w:tplc="FA66B058">
      <w:start w:val="1"/>
      <w:numFmt w:val="decimal"/>
      <w:lvlText w:val="%7"/>
      <w:lvlJc w:val="left"/>
      <w:pPr>
        <w:ind w:left="4680"/>
      </w:pPr>
      <w:rPr>
        <w:rFonts w:ascii="Calibri" w:eastAsia="Calibri" w:hAnsi="Calibri" w:cs="Calibri"/>
        <w:b w:val="0"/>
        <w:i/>
        <w:iCs/>
        <w:strike w:val="0"/>
        <w:dstrike w:val="0"/>
        <w:color w:val="000000"/>
        <w:sz w:val="18"/>
        <w:szCs w:val="18"/>
        <w:u w:val="none" w:color="000000"/>
        <w:bdr w:val="none" w:sz="0" w:space="0" w:color="auto"/>
        <w:shd w:val="clear" w:color="auto" w:fill="auto"/>
        <w:vertAlign w:val="superscript"/>
      </w:rPr>
    </w:lvl>
    <w:lvl w:ilvl="7" w:tplc="9B188046">
      <w:start w:val="1"/>
      <w:numFmt w:val="lowerLetter"/>
      <w:lvlText w:val="%8"/>
      <w:lvlJc w:val="left"/>
      <w:pPr>
        <w:ind w:left="5400"/>
      </w:pPr>
      <w:rPr>
        <w:rFonts w:ascii="Calibri" w:eastAsia="Calibri" w:hAnsi="Calibri" w:cs="Calibri"/>
        <w:b w:val="0"/>
        <w:i/>
        <w:iCs/>
        <w:strike w:val="0"/>
        <w:dstrike w:val="0"/>
        <w:color w:val="000000"/>
        <w:sz w:val="18"/>
        <w:szCs w:val="18"/>
        <w:u w:val="none" w:color="000000"/>
        <w:bdr w:val="none" w:sz="0" w:space="0" w:color="auto"/>
        <w:shd w:val="clear" w:color="auto" w:fill="auto"/>
        <w:vertAlign w:val="superscript"/>
      </w:rPr>
    </w:lvl>
    <w:lvl w:ilvl="8" w:tplc="A5065588">
      <w:start w:val="1"/>
      <w:numFmt w:val="lowerRoman"/>
      <w:lvlText w:val="%9"/>
      <w:lvlJc w:val="left"/>
      <w:pPr>
        <w:ind w:left="6120"/>
      </w:pPr>
      <w:rPr>
        <w:rFonts w:ascii="Calibri" w:eastAsia="Calibri" w:hAnsi="Calibri" w:cs="Calibri"/>
        <w:b w:val="0"/>
        <w:i/>
        <w:iCs/>
        <w:strike w:val="0"/>
        <w:dstrike w:val="0"/>
        <w:color w:val="000000"/>
        <w:sz w:val="18"/>
        <w:szCs w:val="18"/>
        <w:u w:val="none" w:color="000000"/>
        <w:bdr w:val="none" w:sz="0" w:space="0" w:color="auto"/>
        <w:shd w:val="clear" w:color="auto" w:fill="auto"/>
        <w:vertAlign w:val="superscript"/>
      </w:rPr>
    </w:lvl>
  </w:abstractNum>
  <w:abstractNum w:abstractNumId="1" w15:restartNumberingAfterBreak="0">
    <w:nsid w:val="2D7F14AD"/>
    <w:multiLevelType w:val="hybridMultilevel"/>
    <w:tmpl w:val="AB14CDB6"/>
    <w:lvl w:ilvl="0" w:tplc="041B000F">
      <w:start w:val="1"/>
      <w:numFmt w:val="decimal"/>
      <w:lvlText w:val="%1."/>
      <w:lvlJc w:val="left"/>
      <w:pPr>
        <w:ind w:left="770" w:hanging="360"/>
      </w:p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2" w15:restartNumberingAfterBreak="0">
    <w:nsid w:val="2F290278"/>
    <w:multiLevelType w:val="hybridMultilevel"/>
    <w:tmpl w:val="E2EAE1CC"/>
    <w:lvl w:ilvl="0" w:tplc="041B000F">
      <w:start w:val="1"/>
      <w:numFmt w:val="decimal"/>
      <w:lvlText w:val="%1."/>
      <w:lvlJc w:val="left"/>
      <w:pPr>
        <w:ind w:left="761" w:hanging="360"/>
      </w:pPr>
    </w:lvl>
    <w:lvl w:ilvl="1" w:tplc="041B0019" w:tentative="1">
      <w:start w:val="1"/>
      <w:numFmt w:val="lowerLetter"/>
      <w:lvlText w:val="%2."/>
      <w:lvlJc w:val="left"/>
      <w:pPr>
        <w:ind w:left="1481" w:hanging="360"/>
      </w:pPr>
    </w:lvl>
    <w:lvl w:ilvl="2" w:tplc="041B001B" w:tentative="1">
      <w:start w:val="1"/>
      <w:numFmt w:val="lowerRoman"/>
      <w:lvlText w:val="%3."/>
      <w:lvlJc w:val="right"/>
      <w:pPr>
        <w:ind w:left="2201" w:hanging="180"/>
      </w:pPr>
    </w:lvl>
    <w:lvl w:ilvl="3" w:tplc="041B000F" w:tentative="1">
      <w:start w:val="1"/>
      <w:numFmt w:val="decimal"/>
      <w:lvlText w:val="%4."/>
      <w:lvlJc w:val="left"/>
      <w:pPr>
        <w:ind w:left="2921" w:hanging="360"/>
      </w:pPr>
    </w:lvl>
    <w:lvl w:ilvl="4" w:tplc="041B0019" w:tentative="1">
      <w:start w:val="1"/>
      <w:numFmt w:val="lowerLetter"/>
      <w:lvlText w:val="%5."/>
      <w:lvlJc w:val="left"/>
      <w:pPr>
        <w:ind w:left="3641" w:hanging="360"/>
      </w:pPr>
    </w:lvl>
    <w:lvl w:ilvl="5" w:tplc="041B001B" w:tentative="1">
      <w:start w:val="1"/>
      <w:numFmt w:val="lowerRoman"/>
      <w:lvlText w:val="%6."/>
      <w:lvlJc w:val="right"/>
      <w:pPr>
        <w:ind w:left="4361" w:hanging="180"/>
      </w:pPr>
    </w:lvl>
    <w:lvl w:ilvl="6" w:tplc="041B000F" w:tentative="1">
      <w:start w:val="1"/>
      <w:numFmt w:val="decimal"/>
      <w:lvlText w:val="%7."/>
      <w:lvlJc w:val="left"/>
      <w:pPr>
        <w:ind w:left="5081" w:hanging="360"/>
      </w:pPr>
    </w:lvl>
    <w:lvl w:ilvl="7" w:tplc="041B0019" w:tentative="1">
      <w:start w:val="1"/>
      <w:numFmt w:val="lowerLetter"/>
      <w:lvlText w:val="%8."/>
      <w:lvlJc w:val="left"/>
      <w:pPr>
        <w:ind w:left="5801" w:hanging="360"/>
      </w:pPr>
    </w:lvl>
    <w:lvl w:ilvl="8" w:tplc="041B001B" w:tentative="1">
      <w:start w:val="1"/>
      <w:numFmt w:val="lowerRoman"/>
      <w:lvlText w:val="%9."/>
      <w:lvlJc w:val="right"/>
      <w:pPr>
        <w:ind w:left="6521" w:hanging="180"/>
      </w:pPr>
    </w:lvl>
  </w:abstractNum>
  <w:abstractNum w:abstractNumId="3" w15:restartNumberingAfterBreak="0">
    <w:nsid w:val="3D121B7A"/>
    <w:multiLevelType w:val="hybridMultilevel"/>
    <w:tmpl w:val="AB14CDB6"/>
    <w:lvl w:ilvl="0" w:tplc="041B000F">
      <w:start w:val="1"/>
      <w:numFmt w:val="decimal"/>
      <w:lvlText w:val="%1."/>
      <w:lvlJc w:val="left"/>
      <w:pPr>
        <w:ind w:left="770" w:hanging="360"/>
      </w:p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4" w15:restartNumberingAfterBreak="0">
    <w:nsid w:val="4DA62BFE"/>
    <w:multiLevelType w:val="multilevel"/>
    <w:tmpl w:val="E18E803A"/>
    <w:lvl w:ilvl="0">
      <w:start w:val="1"/>
      <w:numFmt w:val="decimal"/>
      <w:pStyle w:val="Nadpis1"/>
      <w:lvlText w:val="%1."/>
      <w:lvlJc w:val="left"/>
      <w:pPr>
        <w:ind w:left="0"/>
      </w:pPr>
      <w:rPr>
        <w:rFonts w:ascii="Cambria" w:eastAsia="Cambria" w:hAnsi="Cambria" w:cs="Cambria"/>
        <w:b/>
        <w:bCs/>
        <w:i w:val="0"/>
        <w:strike w:val="0"/>
        <w:dstrike w:val="0"/>
        <w:color w:val="002776"/>
        <w:sz w:val="28"/>
        <w:szCs w:val="28"/>
        <w:u w:val="none" w:color="000000"/>
        <w:bdr w:val="none" w:sz="0" w:space="0" w:color="auto"/>
        <w:shd w:val="clear" w:color="auto" w:fill="auto"/>
        <w:vertAlign w:val="baseline"/>
      </w:rPr>
    </w:lvl>
    <w:lvl w:ilvl="1">
      <w:start w:val="1"/>
      <w:numFmt w:val="decimal"/>
      <w:pStyle w:val="Nadpis2"/>
      <w:lvlText w:val="%1.%2."/>
      <w:lvlJc w:val="left"/>
      <w:pPr>
        <w:ind w:left="0"/>
      </w:pPr>
      <w:rPr>
        <w:rFonts w:ascii="Calibri" w:eastAsia="Calibri" w:hAnsi="Calibri" w:cs="Calibri"/>
        <w:b/>
        <w:bCs/>
        <w:i w:val="0"/>
        <w:strike w:val="0"/>
        <w:dstrike w:val="0"/>
        <w:color w:val="44546A"/>
        <w:sz w:val="26"/>
        <w:szCs w:val="26"/>
        <w:u w:val="none" w:color="000000"/>
        <w:bdr w:val="none" w:sz="0" w:space="0" w:color="auto"/>
        <w:shd w:val="clear" w:color="auto" w:fill="auto"/>
        <w:vertAlign w:val="baseline"/>
      </w:rPr>
    </w:lvl>
    <w:lvl w:ilvl="2">
      <w:start w:val="1"/>
      <w:numFmt w:val="lowerRoman"/>
      <w:lvlText w:val="%3"/>
      <w:lvlJc w:val="left"/>
      <w:pPr>
        <w:ind w:left="1440"/>
      </w:pPr>
      <w:rPr>
        <w:rFonts w:ascii="Calibri" w:eastAsia="Calibri" w:hAnsi="Calibri" w:cs="Calibri"/>
        <w:b/>
        <w:bCs/>
        <w:i w:val="0"/>
        <w:strike w:val="0"/>
        <w:dstrike w:val="0"/>
        <w:color w:val="44546A"/>
        <w:sz w:val="26"/>
        <w:szCs w:val="26"/>
        <w:u w:val="none" w:color="000000"/>
        <w:bdr w:val="none" w:sz="0" w:space="0" w:color="auto"/>
        <w:shd w:val="clear" w:color="auto" w:fill="auto"/>
        <w:vertAlign w:val="baseline"/>
      </w:rPr>
    </w:lvl>
    <w:lvl w:ilvl="3">
      <w:start w:val="1"/>
      <w:numFmt w:val="decimal"/>
      <w:lvlText w:val="%4"/>
      <w:lvlJc w:val="left"/>
      <w:pPr>
        <w:ind w:left="2160"/>
      </w:pPr>
      <w:rPr>
        <w:rFonts w:ascii="Calibri" w:eastAsia="Calibri" w:hAnsi="Calibri" w:cs="Calibri"/>
        <w:b/>
        <w:bCs/>
        <w:i w:val="0"/>
        <w:strike w:val="0"/>
        <w:dstrike w:val="0"/>
        <w:color w:val="44546A"/>
        <w:sz w:val="26"/>
        <w:szCs w:val="26"/>
        <w:u w:val="none" w:color="000000"/>
        <w:bdr w:val="none" w:sz="0" w:space="0" w:color="auto"/>
        <w:shd w:val="clear" w:color="auto" w:fill="auto"/>
        <w:vertAlign w:val="baseline"/>
      </w:rPr>
    </w:lvl>
    <w:lvl w:ilvl="4">
      <w:start w:val="1"/>
      <w:numFmt w:val="lowerLetter"/>
      <w:lvlText w:val="%5"/>
      <w:lvlJc w:val="left"/>
      <w:pPr>
        <w:ind w:left="2880"/>
      </w:pPr>
      <w:rPr>
        <w:rFonts w:ascii="Calibri" w:eastAsia="Calibri" w:hAnsi="Calibri" w:cs="Calibri"/>
        <w:b/>
        <w:bCs/>
        <w:i w:val="0"/>
        <w:strike w:val="0"/>
        <w:dstrike w:val="0"/>
        <w:color w:val="44546A"/>
        <w:sz w:val="26"/>
        <w:szCs w:val="26"/>
        <w:u w:val="none" w:color="000000"/>
        <w:bdr w:val="none" w:sz="0" w:space="0" w:color="auto"/>
        <w:shd w:val="clear" w:color="auto" w:fill="auto"/>
        <w:vertAlign w:val="baseline"/>
      </w:rPr>
    </w:lvl>
    <w:lvl w:ilvl="5">
      <w:start w:val="1"/>
      <w:numFmt w:val="lowerRoman"/>
      <w:lvlText w:val="%6"/>
      <w:lvlJc w:val="left"/>
      <w:pPr>
        <w:ind w:left="3600"/>
      </w:pPr>
      <w:rPr>
        <w:rFonts w:ascii="Calibri" w:eastAsia="Calibri" w:hAnsi="Calibri" w:cs="Calibri"/>
        <w:b/>
        <w:bCs/>
        <w:i w:val="0"/>
        <w:strike w:val="0"/>
        <w:dstrike w:val="0"/>
        <w:color w:val="44546A"/>
        <w:sz w:val="26"/>
        <w:szCs w:val="26"/>
        <w:u w:val="none" w:color="000000"/>
        <w:bdr w:val="none" w:sz="0" w:space="0" w:color="auto"/>
        <w:shd w:val="clear" w:color="auto" w:fill="auto"/>
        <w:vertAlign w:val="baseline"/>
      </w:rPr>
    </w:lvl>
    <w:lvl w:ilvl="6">
      <w:start w:val="1"/>
      <w:numFmt w:val="decimal"/>
      <w:lvlText w:val="%7"/>
      <w:lvlJc w:val="left"/>
      <w:pPr>
        <w:ind w:left="4320"/>
      </w:pPr>
      <w:rPr>
        <w:rFonts w:ascii="Calibri" w:eastAsia="Calibri" w:hAnsi="Calibri" w:cs="Calibri"/>
        <w:b/>
        <w:bCs/>
        <w:i w:val="0"/>
        <w:strike w:val="0"/>
        <w:dstrike w:val="0"/>
        <w:color w:val="44546A"/>
        <w:sz w:val="26"/>
        <w:szCs w:val="26"/>
        <w:u w:val="none" w:color="000000"/>
        <w:bdr w:val="none" w:sz="0" w:space="0" w:color="auto"/>
        <w:shd w:val="clear" w:color="auto" w:fill="auto"/>
        <w:vertAlign w:val="baseline"/>
      </w:rPr>
    </w:lvl>
    <w:lvl w:ilvl="7">
      <w:start w:val="1"/>
      <w:numFmt w:val="lowerLetter"/>
      <w:lvlText w:val="%8"/>
      <w:lvlJc w:val="left"/>
      <w:pPr>
        <w:ind w:left="5040"/>
      </w:pPr>
      <w:rPr>
        <w:rFonts w:ascii="Calibri" w:eastAsia="Calibri" w:hAnsi="Calibri" w:cs="Calibri"/>
        <w:b/>
        <w:bCs/>
        <w:i w:val="0"/>
        <w:strike w:val="0"/>
        <w:dstrike w:val="0"/>
        <w:color w:val="44546A"/>
        <w:sz w:val="26"/>
        <w:szCs w:val="26"/>
        <w:u w:val="none" w:color="000000"/>
        <w:bdr w:val="none" w:sz="0" w:space="0" w:color="auto"/>
        <w:shd w:val="clear" w:color="auto" w:fill="auto"/>
        <w:vertAlign w:val="baseline"/>
      </w:rPr>
    </w:lvl>
    <w:lvl w:ilvl="8">
      <w:start w:val="1"/>
      <w:numFmt w:val="lowerRoman"/>
      <w:lvlText w:val="%9"/>
      <w:lvlJc w:val="left"/>
      <w:pPr>
        <w:ind w:left="5760"/>
      </w:pPr>
      <w:rPr>
        <w:rFonts w:ascii="Calibri" w:eastAsia="Calibri" w:hAnsi="Calibri" w:cs="Calibri"/>
        <w:b/>
        <w:bCs/>
        <w:i w:val="0"/>
        <w:strike w:val="0"/>
        <w:dstrike w:val="0"/>
        <w:color w:val="44546A"/>
        <w:sz w:val="26"/>
        <w:szCs w:val="26"/>
        <w:u w:val="none" w:color="000000"/>
        <w:bdr w:val="none" w:sz="0" w:space="0" w:color="auto"/>
        <w:shd w:val="clear" w:color="auto" w:fill="auto"/>
        <w:vertAlign w:val="baseline"/>
      </w:rPr>
    </w:lvl>
  </w:abstractNum>
  <w:abstractNum w:abstractNumId="5" w15:restartNumberingAfterBreak="0">
    <w:nsid w:val="652E5789"/>
    <w:multiLevelType w:val="hybridMultilevel"/>
    <w:tmpl w:val="F642EB24"/>
    <w:lvl w:ilvl="0" w:tplc="6F64DD16">
      <w:start w:val="1"/>
      <w:numFmt w:val="lowerLetter"/>
      <w:lvlText w:val="%1)"/>
      <w:lvlJc w:val="left"/>
      <w:pPr>
        <w:ind w:left="713"/>
      </w:pPr>
      <w:rPr>
        <w:rFonts w:ascii="Calibri" w:eastAsia="Calibri" w:hAnsi="Calibri" w:cs="Calibri"/>
        <w:b w:val="0"/>
        <w:i w:val="0"/>
        <w:strike w:val="0"/>
        <w:dstrike w:val="0"/>
        <w:color w:val="404040"/>
        <w:sz w:val="22"/>
        <w:szCs w:val="22"/>
        <w:u w:val="none" w:color="000000"/>
        <w:bdr w:val="none" w:sz="0" w:space="0" w:color="auto"/>
        <w:shd w:val="clear" w:color="auto" w:fill="auto"/>
        <w:vertAlign w:val="baseline"/>
      </w:rPr>
    </w:lvl>
    <w:lvl w:ilvl="1" w:tplc="1A62641C">
      <w:start w:val="1"/>
      <w:numFmt w:val="lowerLetter"/>
      <w:lvlText w:val="%2"/>
      <w:lvlJc w:val="left"/>
      <w:pPr>
        <w:ind w:left="1438"/>
      </w:pPr>
      <w:rPr>
        <w:rFonts w:ascii="Calibri" w:eastAsia="Calibri" w:hAnsi="Calibri" w:cs="Calibri"/>
        <w:b w:val="0"/>
        <w:i w:val="0"/>
        <w:strike w:val="0"/>
        <w:dstrike w:val="0"/>
        <w:color w:val="404040"/>
        <w:sz w:val="22"/>
        <w:szCs w:val="22"/>
        <w:u w:val="none" w:color="000000"/>
        <w:bdr w:val="none" w:sz="0" w:space="0" w:color="auto"/>
        <w:shd w:val="clear" w:color="auto" w:fill="auto"/>
        <w:vertAlign w:val="baseline"/>
      </w:rPr>
    </w:lvl>
    <w:lvl w:ilvl="2" w:tplc="FC284A58">
      <w:start w:val="1"/>
      <w:numFmt w:val="lowerRoman"/>
      <w:lvlText w:val="%3"/>
      <w:lvlJc w:val="left"/>
      <w:pPr>
        <w:ind w:left="2158"/>
      </w:pPr>
      <w:rPr>
        <w:rFonts w:ascii="Calibri" w:eastAsia="Calibri" w:hAnsi="Calibri" w:cs="Calibri"/>
        <w:b w:val="0"/>
        <w:i w:val="0"/>
        <w:strike w:val="0"/>
        <w:dstrike w:val="0"/>
        <w:color w:val="404040"/>
        <w:sz w:val="22"/>
        <w:szCs w:val="22"/>
        <w:u w:val="none" w:color="000000"/>
        <w:bdr w:val="none" w:sz="0" w:space="0" w:color="auto"/>
        <w:shd w:val="clear" w:color="auto" w:fill="auto"/>
        <w:vertAlign w:val="baseline"/>
      </w:rPr>
    </w:lvl>
    <w:lvl w:ilvl="3" w:tplc="A24EF730">
      <w:start w:val="1"/>
      <w:numFmt w:val="decimal"/>
      <w:lvlText w:val="%4"/>
      <w:lvlJc w:val="left"/>
      <w:pPr>
        <w:ind w:left="2878"/>
      </w:pPr>
      <w:rPr>
        <w:rFonts w:ascii="Calibri" w:eastAsia="Calibri" w:hAnsi="Calibri" w:cs="Calibri"/>
        <w:b w:val="0"/>
        <w:i w:val="0"/>
        <w:strike w:val="0"/>
        <w:dstrike w:val="0"/>
        <w:color w:val="404040"/>
        <w:sz w:val="22"/>
        <w:szCs w:val="22"/>
        <w:u w:val="none" w:color="000000"/>
        <w:bdr w:val="none" w:sz="0" w:space="0" w:color="auto"/>
        <w:shd w:val="clear" w:color="auto" w:fill="auto"/>
        <w:vertAlign w:val="baseline"/>
      </w:rPr>
    </w:lvl>
    <w:lvl w:ilvl="4" w:tplc="B32AD1F2">
      <w:start w:val="1"/>
      <w:numFmt w:val="lowerLetter"/>
      <w:lvlText w:val="%5"/>
      <w:lvlJc w:val="left"/>
      <w:pPr>
        <w:ind w:left="3598"/>
      </w:pPr>
      <w:rPr>
        <w:rFonts w:ascii="Calibri" w:eastAsia="Calibri" w:hAnsi="Calibri" w:cs="Calibri"/>
        <w:b w:val="0"/>
        <w:i w:val="0"/>
        <w:strike w:val="0"/>
        <w:dstrike w:val="0"/>
        <w:color w:val="404040"/>
        <w:sz w:val="22"/>
        <w:szCs w:val="22"/>
        <w:u w:val="none" w:color="000000"/>
        <w:bdr w:val="none" w:sz="0" w:space="0" w:color="auto"/>
        <w:shd w:val="clear" w:color="auto" w:fill="auto"/>
        <w:vertAlign w:val="baseline"/>
      </w:rPr>
    </w:lvl>
    <w:lvl w:ilvl="5" w:tplc="A6E06436">
      <w:start w:val="1"/>
      <w:numFmt w:val="lowerRoman"/>
      <w:lvlText w:val="%6"/>
      <w:lvlJc w:val="left"/>
      <w:pPr>
        <w:ind w:left="4318"/>
      </w:pPr>
      <w:rPr>
        <w:rFonts w:ascii="Calibri" w:eastAsia="Calibri" w:hAnsi="Calibri" w:cs="Calibri"/>
        <w:b w:val="0"/>
        <w:i w:val="0"/>
        <w:strike w:val="0"/>
        <w:dstrike w:val="0"/>
        <w:color w:val="404040"/>
        <w:sz w:val="22"/>
        <w:szCs w:val="22"/>
        <w:u w:val="none" w:color="000000"/>
        <w:bdr w:val="none" w:sz="0" w:space="0" w:color="auto"/>
        <w:shd w:val="clear" w:color="auto" w:fill="auto"/>
        <w:vertAlign w:val="baseline"/>
      </w:rPr>
    </w:lvl>
    <w:lvl w:ilvl="6" w:tplc="FC4EF83E">
      <w:start w:val="1"/>
      <w:numFmt w:val="decimal"/>
      <w:lvlText w:val="%7"/>
      <w:lvlJc w:val="left"/>
      <w:pPr>
        <w:ind w:left="5038"/>
      </w:pPr>
      <w:rPr>
        <w:rFonts w:ascii="Calibri" w:eastAsia="Calibri" w:hAnsi="Calibri" w:cs="Calibri"/>
        <w:b w:val="0"/>
        <w:i w:val="0"/>
        <w:strike w:val="0"/>
        <w:dstrike w:val="0"/>
        <w:color w:val="404040"/>
        <w:sz w:val="22"/>
        <w:szCs w:val="22"/>
        <w:u w:val="none" w:color="000000"/>
        <w:bdr w:val="none" w:sz="0" w:space="0" w:color="auto"/>
        <w:shd w:val="clear" w:color="auto" w:fill="auto"/>
        <w:vertAlign w:val="baseline"/>
      </w:rPr>
    </w:lvl>
    <w:lvl w:ilvl="7" w:tplc="EA1A766A">
      <w:start w:val="1"/>
      <w:numFmt w:val="lowerLetter"/>
      <w:lvlText w:val="%8"/>
      <w:lvlJc w:val="left"/>
      <w:pPr>
        <w:ind w:left="5758"/>
      </w:pPr>
      <w:rPr>
        <w:rFonts w:ascii="Calibri" w:eastAsia="Calibri" w:hAnsi="Calibri" w:cs="Calibri"/>
        <w:b w:val="0"/>
        <w:i w:val="0"/>
        <w:strike w:val="0"/>
        <w:dstrike w:val="0"/>
        <w:color w:val="404040"/>
        <w:sz w:val="22"/>
        <w:szCs w:val="22"/>
        <w:u w:val="none" w:color="000000"/>
        <w:bdr w:val="none" w:sz="0" w:space="0" w:color="auto"/>
        <w:shd w:val="clear" w:color="auto" w:fill="auto"/>
        <w:vertAlign w:val="baseline"/>
      </w:rPr>
    </w:lvl>
    <w:lvl w:ilvl="8" w:tplc="5358CCC2">
      <w:start w:val="1"/>
      <w:numFmt w:val="lowerRoman"/>
      <w:lvlText w:val="%9"/>
      <w:lvlJc w:val="left"/>
      <w:pPr>
        <w:ind w:left="6478"/>
      </w:pPr>
      <w:rPr>
        <w:rFonts w:ascii="Calibri" w:eastAsia="Calibri" w:hAnsi="Calibri" w:cs="Calibri"/>
        <w:b w:val="0"/>
        <w:i w:val="0"/>
        <w:strike w:val="0"/>
        <w:dstrike w:val="0"/>
        <w:color w:val="404040"/>
        <w:sz w:val="22"/>
        <w:szCs w:val="22"/>
        <w:u w:val="none" w:color="000000"/>
        <w:bdr w:val="none" w:sz="0" w:space="0" w:color="auto"/>
        <w:shd w:val="clear" w:color="auto" w:fill="auto"/>
        <w:vertAlign w:val="baseline"/>
      </w:rPr>
    </w:lvl>
  </w:abstractNum>
  <w:abstractNum w:abstractNumId="6" w15:restartNumberingAfterBreak="0">
    <w:nsid w:val="704300F5"/>
    <w:multiLevelType w:val="hybridMultilevel"/>
    <w:tmpl w:val="C9788CBC"/>
    <w:lvl w:ilvl="0" w:tplc="AEFEBE9A">
      <w:start w:val="1"/>
      <w:numFmt w:val="decimal"/>
      <w:lvlText w:val="%1."/>
      <w:lvlJc w:val="left"/>
      <w:pPr>
        <w:ind w:left="714"/>
      </w:pPr>
      <w:rPr>
        <w:rFonts w:ascii="Calibri" w:eastAsia="Calibri" w:hAnsi="Calibri" w:cs="Calibri"/>
        <w:b w:val="0"/>
        <w:i w:val="0"/>
        <w:strike w:val="0"/>
        <w:dstrike w:val="0"/>
        <w:color w:val="404040"/>
        <w:sz w:val="22"/>
        <w:szCs w:val="22"/>
        <w:u w:val="none" w:color="000000"/>
        <w:bdr w:val="none" w:sz="0" w:space="0" w:color="auto"/>
        <w:shd w:val="clear" w:color="auto" w:fill="auto"/>
        <w:vertAlign w:val="baseline"/>
      </w:rPr>
    </w:lvl>
    <w:lvl w:ilvl="1" w:tplc="AC5E3D24">
      <w:start w:val="1"/>
      <w:numFmt w:val="lowerLetter"/>
      <w:lvlText w:val="%2"/>
      <w:lvlJc w:val="left"/>
      <w:pPr>
        <w:ind w:left="1434"/>
      </w:pPr>
      <w:rPr>
        <w:rFonts w:ascii="Calibri" w:eastAsia="Calibri" w:hAnsi="Calibri" w:cs="Calibri"/>
        <w:b w:val="0"/>
        <w:i w:val="0"/>
        <w:strike w:val="0"/>
        <w:dstrike w:val="0"/>
        <w:color w:val="404040"/>
        <w:sz w:val="22"/>
        <w:szCs w:val="22"/>
        <w:u w:val="none" w:color="000000"/>
        <w:bdr w:val="none" w:sz="0" w:space="0" w:color="auto"/>
        <w:shd w:val="clear" w:color="auto" w:fill="auto"/>
        <w:vertAlign w:val="baseline"/>
      </w:rPr>
    </w:lvl>
    <w:lvl w:ilvl="2" w:tplc="FF5E8408">
      <w:start w:val="1"/>
      <w:numFmt w:val="lowerRoman"/>
      <w:lvlText w:val="%3"/>
      <w:lvlJc w:val="left"/>
      <w:pPr>
        <w:ind w:left="2154"/>
      </w:pPr>
      <w:rPr>
        <w:rFonts w:ascii="Calibri" w:eastAsia="Calibri" w:hAnsi="Calibri" w:cs="Calibri"/>
        <w:b w:val="0"/>
        <w:i w:val="0"/>
        <w:strike w:val="0"/>
        <w:dstrike w:val="0"/>
        <w:color w:val="404040"/>
        <w:sz w:val="22"/>
        <w:szCs w:val="22"/>
        <w:u w:val="none" w:color="000000"/>
        <w:bdr w:val="none" w:sz="0" w:space="0" w:color="auto"/>
        <w:shd w:val="clear" w:color="auto" w:fill="auto"/>
        <w:vertAlign w:val="baseline"/>
      </w:rPr>
    </w:lvl>
    <w:lvl w:ilvl="3" w:tplc="9692F238">
      <w:start w:val="1"/>
      <w:numFmt w:val="decimal"/>
      <w:lvlText w:val="%4"/>
      <w:lvlJc w:val="left"/>
      <w:pPr>
        <w:ind w:left="2874"/>
      </w:pPr>
      <w:rPr>
        <w:rFonts w:ascii="Calibri" w:eastAsia="Calibri" w:hAnsi="Calibri" w:cs="Calibri"/>
        <w:b w:val="0"/>
        <w:i w:val="0"/>
        <w:strike w:val="0"/>
        <w:dstrike w:val="0"/>
        <w:color w:val="404040"/>
        <w:sz w:val="22"/>
        <w:szCs w:val="22"/>
        <w:u w:val="none" w:color="000000"/>
        <w:bdr w:val="none" w:sz="0" w:space="0" w:color="auto"/>
        <w:shd w:val="clear" w:color="auto" w:fill="auto"/>
        <w:vertAlign w:val="baseline"/>
      </w:rPr>
    </w:lvl>
    <w:lvl w:ilvl="4" w:tplc="01EAB02A">
      <w:start w:val="1"/>
      <w:numFmt w:val="lowerLetter"/>
      <w:lvlText w:val="%5"/>
      <w:lvlJc w:val="left"/>
      <w:pPr>
        <w:ind w:left="3594"/>
      </w:pPr>
      <w:rPr>
        <w:rFonts w:ascii="Calibri" w:eastAsia="Calibri" w:hAnsi="Calibri" w:cs="Calibri"/>
        <w:b w:val="0"/>
        <w:i w:val="0"/>
        <w:strike w:val="0"/>
        <w:dstrike w:val="0"/>
        <w:color w:val="404040"/>
        <w:sz w:val="22"/>
        <w:szCs w:val="22"/>
        <w:u w:val="none" w:color="000000"/>
        <w:bdr w:val="none" w:sz="0" w:space="0" w:color="auto"/>
        <w:shd w:val="clear" w:color="auto" w:fill="auto"/>
        <w:vertAlign w:val="baseline"/>
      </w:rPr>
    </w:lvl>
    <w:lvl w:ilvl="5" w:tplc="B31CDC6E">
      <w:start w:val="1"/>
      <w:numFmt w:val="lowerRoman"/>
      <w:lvlText w:val="%6"/>
      <w:lvlJc w:val="left"/>
      <w:pPr>
        <w:ind w:left="4314"/>
      </w:pPr>
      <w:rPr>
        <w:rFonts w:ascii="Calibri" w:eastAsia="Calibri" w:hAnsi="Calibri" w:cs="Calibri"/>
        <w:b w:val="0"/>
        <w:i w:val="0"/>
        <w:strike w:val="0"/>
        <w:dstrike w:val="0"/>
        <w:color w:val="404040"/>
        <w:sz w:val="22"/>
        <w:szCs w:val="22"/>
        <w:u w:val="none" w:color="000000"/>
        <w:bdr w:val="none" w:sz="0" w:space="0" w:color="auto"/>
        <w:shd w:val="clear" w:color="auto" w:fill="auto"/>
        <w:vertAlign w:val="baseline"/>
      </w:rPr>
    </w:lvl>
    <w:lvl w:ilvl="6" w:tplc="05AABE48">
      <w:start w:val="1"/>
      <w:numFmt w:val="decimal"/>
      <w:lvlText w:val="%7"/>
      <w:lvlJc w:val="left"/>
      <w:pPr>
        <w:ind w:left="5034"/>
      </w:pPr>
      <w:rPr>
        <w:rFonts w:ascii="Calibri" w:eastAsia="Calibri" w:hAnsi="Calibri" w:cs="Calibri"/>
        <w:b w:val="0"/>
        <w:i w:val="0"/>
        <w:strike w:val="0"/>
        <w:dstrike w:val="0"/>
        <w:color w:val="404040"/>
        <w:sz w:val="22"/>
        <w:szCs w:val="22"/>
        <w:u w:val="none" w:color="000000"/>
        <w:bdr w:val="none" w:sz="0" w:space="0" w:color="auto"/>
        <w:shd w:val="clear" w:color="auto" w:fill="auto"/>
        <w:vertAlign w:val="baseline"/>
      </w:rPr>
    </w:lvl>
    <w:lvl w:ilvl="7" w:tplc="5762BB36">
      <w:start w:val="1"/>
      <w:numFmt w:val="lowerLetter"/>
      <w:lvlText w:val="%8"/>
      <w:lvlJc w:val="left"/>
      <w:pPr>
        <w:ind w:left="5754"/>
      </w:pPr>
      <w:rPr>
        <w:rFonts w:ascii="Calibri" w:eastAsia="Calibri" w:hAnsi="Calibri" w:cs="Calibri"/>
        <w:b w:val="0"/>
        <w:i w:val="0"/>
        <w:strike w:val="0"/>
        <w:dstrike w:val="0"/>
        <w:color w:val="404040"/>
        <w:sz w:val="22"/>
        <w:szCs w:val="22"/>
        <w:u w:val="none" w:color="000000"/>
        <w:bdr w:val="none" w:sz="0" w:space="0" w:color="auto"/>
        <w:shd w:val="clear" w:color="auto" w:fill="auto"/>
        <w:vertAlign w:val="baseline"/>
      </w:rPr>
    </w:lvl>
    <w:lvl w:ilvl="8" w:tplc="8B70C996">
      <w:start w:val="1"/>
      <w:numFmt w:val="lowerRoman"/>
      <w:lvlText w:val="%9"/>
      <w:lvlJc w:val="left"/>
      <w:pPr>
        <w:ind w:left="6474"/>
      </w:pPr>
      <w:rPr>
        <w:rFonts w:ascii="Calibri" w:eastAsia="Calibri" w:hAnsi="Calibri" w:cs="Calibri"/>
        <w:b w:val="0"/>
        <w:i w:val="0"/>
        <w:strike w:val="0"/>
        <w:dstrike w:val="0"/>
        <w:color w:val="404040"/>
        <w:sz w:val="22"/>
        <w:szCs w:val="22"/>
        <w:u w:val="none" w:color="000000"/>
        <w:bdr w:val="none" w:sz="0" w:space="0" w:color="auto"/>
        <w:shd w:val="clear" w:color="auto" w:fill="auto"/>
        <w:vertAlign w:val="baseline"/>
      </w:rPr>
    </w:lvl>
  </w:abstractNum>
  <w:abstractNum w:abstractNumId="7" w15:restartNumberingAfterBreak="0">
    <w:nsid w:val="789E18AD"/>
    <w:multiLevelType w:val="multilevel"/>
    <w:tmpl w:val="AC027CCA"/>
    <w:lvl w:ilvl="0">
      <w:start w:val="1"/>
      <w:numFmt w:val="decimal"/>
      <w:lvlText w:val="%1."/>
      <w:lvlJc w:val="left"/>
      <w:pPr>
        <w:ind w:left="43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2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0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7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4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1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8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6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7"/>
  </w:num>
  <w:num w:numId="2">
    <w:abstractNumId w:val="5"/>
  </w:num>
  <w:num w:numId="3">
    <w:abstractNumId w:val="6"/>
  </w:num>
  <w:num w:numId="4">
    <w:abstractNumId w:val="0"/>
  </w:num>
  <w:num w:numId="5">
    <w:abstractNumId w:val="4"/>
  </w:num>
  <w:num w:numId="6">
    <w:abstractNumId w:val="4"/>
  </w:num>
  <w:num w:numId="7">
    <w:abstractNumId w:val="2"/>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642B"/>
    <w:rsid w:val="00027538"/>
    <w:rsid w:val="000B3BAB"/>
    <w:rsid w:val="000E28E6"/>
    <w:rsid w:val="001130DD"/>
    <w:rsid w:val="00122131"/>
    <w:rsid w:val="001473AD"/>
    <w:rsid w:val="001D1C1C"/>
    <w:rsid w:val="00273326"/>
    <w:rsid w:val="00296DD7"/>
    <w:rsid w:val="002C471B"/>
    <w:rsid w:val="002D2656"/>
    <w:rsid w:val="002E7B9B"/>
    <w:rsid w:val="003065CE"/>
    <w:rsid w:val="0036642B"/>
    <w:rsid w:val="003B07E3"/>
    <w:rsid w:val="003D2238"/>
    <w:rsid w:val="0044737D"/>
    <w:rsid w:val="004808C2"/>
    <w:rsid w:val="004F2B9C"/>
    <w:rsid w:val="005922C1"/>
    <w:rsid w:val="005F112C"/>
    <w:rsid w:val="006129BD"/>
    <w:rsid w:val="0065720B"/>
    <w:rsid w:val="006814E5"/>
    <w:rsid w:val="006D6BF0"/>
    <w:rsid w:val="006E31FB"/>
    <w:rsid w:val="0072671C"/>
    <w:rsid w:val="007504AC"/>
    <w:rsid w:val="00754BCA"/>
    <w:rsid w:val="00787463"/>
    <w:rsid w:val="007D6024"/>
    <w:rsid w:val="00866E19"/>
    <w:rsid w:val="008B78D2"/>
    <w:rsid w:val="008C282E"/>
    <w:rsid w:val="00917E93"/>
    <w:rsid w:val="00A05AB7"/>
    <w:rsid w:val="00A15A7E"/>
    <w:rsid w:val="00AA2770"/>
    <w:rsid w:val="00AA3A4C"/>
    <w:rsid w:val="00BD7257"/>
    <w:rsid w:val="00C55111"/>
    <w:rsid w:val="00CD7FDF"/>
    <w:rsid w:val="00D13474"/>
    <w:rsid w:val="00D530F0"/>
    <w:rsid w:val="00D819A1"/>
    <w:rsid w:val="00D81A4B"/>
    <w:rsid w:val="00D97203"/>
    <w:rsid w:val="00DD45EA"/>
    <w:rsid w:val="00E31775"/>
    <w:rsid w:val="00E53814"/>
    <w:rsid w:val="00ED26FB"/>
    <w:rsid w:val="00EE6423"/>
    <w:rsid w:val="00F778B8"/>
    <w:rsid w:val="00F96901"/>
    <w:rsid w:val="00F97B1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4AD4E"/>
  <w15:docId w15:val="{CEDE1915-8583-F843-86A0-060A17A1D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21" w:line="270" w:lineRule="auto"/>
      <w:ind w:left="10" w:hanging="10"/>
      <w:jc w:val="both"/>
    </w:pPr>
    <w:rPr>
      <w:rFonts w:ascii="Calibri" w:eastAsia="Calibri" w:hAnsi="Calibri" w:cs="Calibri"/>
      <w:color w:val="404040"/>
      <w:sz w:val="22"/>
      <w:lang w:bidi="sk-SK"/>
    </w:rPr>
  </w:style>
  <w:style w:type="paragraph" w:styleId="Nadpis1">
    <w:name w:val="heading 1"/>
    <w:next w:val="Normlny"/>
    <w:link w:val="Nadpis1Char"/>
    <w:uiPriority w:val="9"/>
    <w:qFormat/>
    <w:pPr>
      <w:keepNext/>
      <w:keepLines/>
      <w:numPr>
        <w:numId w:val="5"/>
      </w:numPr>
      <w:spacing w:after="13" w:line="248" w:lineRule="auto"/>
      <w:outlineLvl w:val="0"/>
    </w:pPr>
    <w:rPr>
      <w:rFonts w:ascii="Cambria" w:eastAsia="Cambria" w:hAnsi="Cambria" w:cs="Cambria"/>
      <w:b/>
      <w:color w:val="002776"/>
      <w:sz w:val="28"/>
    </w:rPr>
  </w:style>
  <w:style w:type="paragraph" w:styleId="Nadpis2">
    <w:name w:val="heading 2"/>
    <w:next w:val="Normlny"/>
    <w:link w:val="Nadpis2Char"/>
    <w:uiPriority w:val="9"/>
    <w:unhideWhenUsed/>
    <w:qFormat/>
    <w:pPr>
      <w:keepNext/>
      <w:keepLines/>
      <w:numPr>
        <w:ilvl w:val="1"/>
        <w:numId w:val="5"/>
      </w:numPr>
      <w:spacing w:line="259" w:lineRule="auto"/>
      <w:ind w:left="370" w:hanging="10"/>
      <w:outlineLvl w:val="1"/>
    </w:pPr>
    <w:rPr>
      <w:rFonts w:ascii="Calibri" w:eastAsia="Calibri" w:hAnsi="Calibri" w:cs="Calibri"/>
      <w:b/>
      <w:color w:val="44546A"/>
      <w:sz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link w:val="Nadpis2"/>
    <w:rPr>
      <w:rFonts w:ascii="Calibri" w:eastAsia="Calibri" w:hAnsi="Calibri" w:cs="Calibri"/>
      <w:b/>
      <w:color w:val="44546A"/>
      <w:sz w:val="26"/>
    </w:rPr>
  </w:style>
  <w:style w:type="paragraph" w:customStyle="1" w:styleId="footnotedescription">
    <w:name w:val="footnote description"/>
    <w:next w:val="Normlny"/>
    <w:link w:val="footnotedescriptionChar"/>
    <w:hidden/>
    <w:pPr>
      <w:spacing w:after="22" w:line="259" w:lineRule="auto"/>
      <w:jc w:val="both"/>
    </w:pPr>
    <w:rPr>
      <w:rFonts w:ascii="Calibri" w:eastAsia="Calibri" w:hAnsi="Calibri" w:cs="Calibri"/>
      <w:i/>
      <w:color w:val="000000"/>
      <w:sz w:val="18"/>
    </w:rPr>
  </w:style>
  <w:style w:type="character" w:customStyle="1" w:styleId="footnotedescriptionChar">
    <w:name w:val="footnote description Char"/>
    <w:link w:val="footnotedescription"/>
    <w:rPr>
      <w:rFonts w:ascii="Calibri" w:eastAsia="Calibri" w:hAnsi="Calibri" w:cs="Calibri"/>
      <w:i/>
      <w:color w:val="000000"/>
      <w:sz w:val="18"/>
    </w:rPr>
  </w:style>
  <w:style w:type="character" w:customStyle="1" w:styleId="Nadpis1Char">
    <w:name w:val="Nadpis 1 Char"/>
    <w:link w:val="Nadpis1"/>
    <w:rPr>
      <w:rFonts w:ascii="Cambria" w:eastAsia="Cambria" w:hAnsi="Cambria" w:cs="Cambria"/>
      <w:b/>
      <w:color w:val="002776"/>
      <w:sz w:val="28"/>
    </w:rPr>
  </w:style>
  <w:style w:type="character" w:customStyle="1" w:styleId="footnotemark">
    <w:name w:val="footnote mark"/>
    <w:hidden/>
    <w:rPr>
      <w:rFonts w:ascii="Calibri" w:eastAsia="Calibri" w:hAnsi="Calibri" w:cs="Calibri"/>
      <w:i/>
      <w:color w:val="000000"/>
      <w:sz w:val="18"/>
      <w:vertAlign w:val="superscript"/>
    </w:rPr>
  </w:style>
  <w:style w:type="table" w:customStyle="1" w:styleId="TableGrid">
    <w:name w:val="TableGrid"/>
    <w:tblPr>
      <w:tblCellMar>
        <w:top w:w="0" w:type="dxa"/>
        <w:left w:w="0" w:type="dxa"/>
        <w:bottom w:w="0" w:type="dxa"/>
        <w:right w:w="0" w:type="dxa"/>
      </w:tblCellMar>
    </w:tblPr>
  </w:style>
  <w:style w:type="paragraph" w:styleId="Revzia">
    <w:name w:val="Revision"/>
    <w:hidden/>
    <w:uiPriority w:val="99"/>
    <w:semiHidden/>
    <w:rsid w:val="00027538"/>
    <w:rPr>
      <w:rFonts w:ascii="Calibri" w:eastAsia="Calibri" w:hAnsi="Calibri" w:cs="Calibri"/>
      <w:color w:val="404040"/>
      <w:sz w:val="22"/>
      <w:lang w:bidi="sk-SK"/>
    </w:rPr>
  </w:style>
  <w:style w:type="paragraph" w:styleId="Textbubliny">
    <w:name w:val="Balloon Text"/>
    <w:basedOn w:val="Normlny"/>
    <w:link w:val="TextbublinyChar"/>
    <w:uiPriority w:val="99"/>
    <w:semiHidden/>
    <w:unhideWhenUsed/>
    <w:rsid w:val="004F2B9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2B9C"/>
    <w:rPr>
      <w:rFonts w:ascii="Segoe UI" w:eastAsia="Calibri" w:hAnsi="Segoe UI" w:cs="Segoe UI"/>
      <w:color w:val="404040"/>
      <w:sz w:val="18"/>
      <w:szCs w:val="18"/>
      <w:lang w:bidi="sk-SK"/>
    </w:rPr>
  </w:style>
  <w:style w:type="character" w:styleId="Odkaznakomentr">
    <w:name w:val="annotation reference"/>
    <w:basedOn w:val="Predvolenpsmoodseku"/>
    <w:uiPriority w:val="99"/>
    <w:semiHidden/>
    <w:unhideWhenUsed/>
    <w:rsid w:val="00CD7FDF"/>
    <w:rPr>
      <w:sz w:val="16"/>
      <w:szCs w:val="16"/>
    </w:rPr>
  </w:style>
  <w:style w:type="paragraph" w:styleId="Textkomentra">
    <w:name w:val="annotation text"/>
    <w:basedOn w:val="Normlny"/>
    <w:link w:val="TextkomentraChar"/>
    <w:uiPriority w:val="99"/>
    <w:semiHidden/>
    <w:unhideWhenUsed/>
    <w:rsid w:val="00CD7FDF"/>
    <w:pPr>
      <w:spacing w:line="240" w:lineRule="auto"/>
    </w:pPr>
    <w:rPr>
      <w:sz w:val="20"/>
      <w:szCs w:val="20"/>
    </w:rPr>
  </w:style>
  <w:style w:type="character" w:customStyle="1" w:styleId="TextkomentraChar">
    <w:name w:val="Text komentára Char"/>
    <w:basedOn w:val="Predvolenpsmoodseku"/>
    <w:link w:val="Textkomentra"/>
    <w:uiPriority w:val="99"/>
    <w:semiHidden/>
    <w:rsid w:val="00CD7FDF"/>
    <w:rPr>
      <w:rFonts w:ascii="Calibri" w:eastAsia="Calibri" w:hAnsi="Calibri" w:cs="Calibri"/>
      <w:color w:val="404040"/>
      <w:sz w:val="20"/>
      <w:szCs w:val="20"/>
      <w:lang w:bidi="sk-SK"/>
    </w:rPr>
  </w:style>
  <w:style w:type="paragraph" w:styleId="Predmetkomentra">
    <w:name w:val="annotation subject"/>
    <w:basedOn w:val="Textkomentra"/>
    <w:next w:val="Textkomentra"/>
    <w:link w:val="PredmetkomentraChar"/>
    <w:uiPriority w:val="99"/>
    <w:semiHidden/>
    <w:unhideWhenUsed/>
    <w:rsid w:val="00CD7FDF"/>
    <w:rPr>
      <w:b/>
      <w:bCs/>
    </w:rPr>
  </w:style>
  <w:style w:type="character" w:customStyle="1" w:styleId="PredmetkomentraChar">
    <w:name w:val="Predmet komentára Char"/>
    <w:basedOn w:val="TextkomentraChar"/>
    <w:link w:val="Predmetkomentra"/>
    <w:uiPriority w:val="99"/>
    <w:semiHidden/>
    <w:rsid w:val="00CD7FDF"/>
    <w:rPr>
      <w:rFonts w:ascii="Calibri" w:eastAsia="Calibri" w:hAnsi="Calibri" w:cs="Calibri"/>
      <w:b/>
      <w:bCs/>
      <w:color w:val="404040"/>
      <w:sz w:val="20"/>
      <w:szCs w:val="20"/>
      <w:lang w:bidi="sk-SK"/>
    </w:rPr>
  </w:style>
  <w:style w:type="paragraph" w:styleId="Odsekzoznamu">
    <w:name w:val="List Paragraph"/>
    <w:basedOn w:val="Normlny"/>
    <w:uiPriority w:val="34"/>
    <w:qFormat/>
    <w:rsid w:val="00ED26FB"/>
    <w:pPr>
      <w:ind w:left="720"/>
      <w:contextualSpacing/>
    </w:pPr>
  </w:style>
  <w:style w:type="paragraph" w:styleId="Hlavikaobsahu">
    <w:name w:val="TOC Heading"/>
    <w:basedOn w:val="Nadpis1"/>
    <w:next w:val="Normlny"/>
    <w:uiPriority w:val="39"/>
    <w:unhideWhenUsed/>
    <w:qFormat/>
    <w:rsid w:val="00AA2770"/>
    <w:pPr>
      <w:numPr>
        <w:numId w:val="0"/>
      </w:numPr>
      <w:spacing w:before="240" w:after="0" w:line="259" w:lineRule="auto"/>
      <w:outlineLvl w:val="9"/>
    </w:pPr>
    <w:rPr>
      <w:rFonts w:asciiTheme="majorHAnsi" w:eastAsiaTheme="majorEastAsia" w:hAnsiTheme="majorHAnsi" w:cstheme="majorBidi"/>
      <w:b w:val="0"/>
      <w:color w:val="2F5496" w:themeColor="accent1" w:themeShade="BF"/>
      <w:sz w:val="32"/>
      <w:szCs w:val="32"/>
    </w:rPr>
  </w:style>
  <w:style w:type="paragraph" w:styleId="Obsah1">
    <w:name w:val="toc 1"/>
    <w:basedOn w:val="Normlny"/>
    <w:next w:val="Normlny"/>
    <w:autoRedefine/>
    <w:uiPriority w:val="39"/>
    <w:unhideWhenUsed/>
    <w:rsid w:val="00AA2770"/>
    <w:pPr>
      <w:spacing w:after="100"/>
      <w:ind w:left="0"/>
    </w:pPr>
  </w:style>
  <w:style w:type="paragraph" w:styleId="Obsah2">
    <w:name w:val="toc 2"/>
    <w:basedOn w:val="Normlny"/>
    <w:next w:val="Normlny"/>
    <w:autoRedefine/>
    <w:uiPriority w:val="39"/>
    <w:unhideWhenUsed/>
    <w:rsid w:val="00AA2770"/>
    <w:pPr>
      <w:spacing w:after="100"/>
      <w:ind w:left="220"/>
    </w:pPr>
  </w:style>
  <w:style w:type="character" w:styleId="Hypertextovprepojenie">
    <w:name w:val="Hyperlink"/>
    <w:basedOn w:val="Predvolenpsmoodseku"/>
    <w:uiPriority w:val="99"/>
    <w:unhideWhenUsed/>
    <w:rsid w:val="00AA2770"/>
    <w:rPr>
      <w:color w:val="0563C1" w:themeColor="hyperlink"/>
      <w:u w:val="single"/>
    </w:rPr>
  </w:style>
  <w:style w:type="paragraph" w:styleId="Hlavika">
    <w:name w:val="header"/>
    <w:basedOn w:val="Normlny"/>
    <w:link w:val="HlavikaChar"/>
    <w:uiPriority w:val="99"/>
    <w:unhideWhenUsed/>
    <w:rsid w:val="000B3BA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B3BAB"/>
    <w:rPr>
      <w:rFonts w:ascii="Calibri" w:eastAsia="Calibri" w:hAnsi="Calibri" w:cs="Calibri"/>
      <w:color w:val="404040"/>
      <w:sz w:val="22"/>
      <w:lang w:bidi="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culture.gov.sk/podpora-projektov-dotacie-1d.htm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ulture.gov.sk/podpora-projektov-dotacie-1d.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culture.gov.sk/podpora-projektov-dotacie-1d.html"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ulture.gov.sk/podpora-projektov-dotacie-1d.html" TargetMode="External"/><Relationship Id="rId5" Type="http://schemas.openxmlformats.org/officeDocument/2006/relationships/webSettings" Target="webSettings.xml"/><Relationship Id="rId15" Type="http://schemas.openxmlformats.org/officeDocument/2006/relationships/hyperlink" Target="http://www.culture.gov.sk/podpora-projektov-dotacie-1d.html" TargetMode="External"/><Relationship Id="rId10" Type="http://schemas.openxmlformats.org/officeDocument/2006/relationships/hyperlink" Target="http://www.culture.gov.sk/podpora-projektov-dotacie-1d.htm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culture.gov.sk/podpora-projektov-dotacie-1d.html" TargetMode="External"/><Relationship Id="rId14" Type="http://schemas.openxmlformats.org/officeDocument/2006/relationships/hyperlink" Target="http://www.culture.gov.sk/podpora-projektov-dotacie-1d.html"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eur-lex.europa.eu/legal-content/EN/TXT/?uri=OJ%3AC%3A2016%3A262%3ATOC4" TargetMode="External"/><Relationship Id="rId7" Type="http://schemas.openxmlformats.org/officeDocument/2006/relationships/hyperlink" Target="http://eur-lex.europa.eu/legal-content/EN/TXT/?uri=OJ%3AC%3A2016%3A262%3ATOC4" TargetMode="External"/><Relationship Id="rId2" Type="http://schemas.openxmlformats.org/officeDocument/2006/relationships/hyperlink" Target="http://eur-lex.europa.eu/legal-content/EN/TXT/?uri=OJ%3AC%3A2016%3A262%3ATOC4" TargetMode="External"/><Relationship Id="rId1" Type="http://schemas.openxmlformats.org/officeDocument/2006/relationships/hyperlink" Target="http://eur-lex.europa.eu/legal-content/EN/TXT/?uri=OJ%3AC%3A2016%3A262%3ATOC4" TargetMode="External"/><Relationship Id="rId6" Type="http://schemas.openxmlformats.org/officeDocument/2006/relationships/hyperlink" Target="http://eur-lex.europa.eu/legal-content/EN/TXT/?uri=OJ%3AC%3A2016%3A262%3ATOC4" TargetMode="External"/><Relationship Id="rId5" Type="http://schemas.openxmlformats.org/officeDocument/2006/relationships/hyperlink" Target="http://eur-lex.europa.eu/legal-content/EN/TXT/?uri=OJ%3AC%3A2016%3A262%3ATOC4" TargetMode="External"/><Relationship Id="rId4" Type="http://schemas.openxmlformats.org/officeDocument/2006/relationships/hyperlink" Target="http://eur-lex.europa.eu/legal-content/EN/TXT/?uri=OJ%3AC%3A2016%3A262%3ATOC4"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00EDE8-4756-40CB-9521-3C1ADB8CE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1828</Words>
  <Characters>10424</Characters>
  <Application>Microsoft Office Word</Application>
  <DocSecurity>0</DocSecurity>
  <Lines>86</Lines>
  <Paragraphs>24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cp:lastModifiedBy>Microsoft Office User</cp:lastModifiedBy>
  <cp:revision>7</cp:revision>
  <dcterms:created xsi:type="dcterms:W3CDTF">2022-01-17T15:26:00Z</dcterms:created>
  <dcterms:modified xsi:type="dcterms:W3CDTF">2022-01-27T17:06:00Z</dcterms:modified>
</cp:coreProperties>
</file>