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7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ind w:left="0" w:right="0" w:hanging="0"/>
        <w:jc w:val="left"/>
        <w:rPr/>
      </w:pPr>
      <w:r>
        <w:rPr/>
        <w:t>že som neporušil zákaz nelegálnej práce a nelegálneho zamestnávania za obdobie 5 rokov predchádzajúcich k podaniu žiadosti.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LibreOffice/7.3.4.2$Windows_X86_64 LibreOffice_project/728fec16bd5f605073805c3c9e7c4212a0120dc5</Application>
  <AppVersion>15.0000</AppVersion>
  <Pages>1</Pages>
  <Words>82</Words>
  <Characters>607</Characters>
  <CharactersWithSpaces>683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2022-07-13T16:07:14Z</dcterms:modified>
  <cp:revision>31</cp:revision>
  <dc:subject/>
  <dc:title>Príloha č. 7 – čestné vyhlásenie – zákaz nelegálnej práce</dc:title>
</cp:coreProperties>
</file>