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4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"/>
        <w:bidi w:val="0"/>
        <w:spacing w:lineRule="auto" w:line="276" w:before="0" w:after="170"/>
        <w:jc w:val="left"/>
        <w:rPr/>
      </w:pPr>
      <w:r>
        <w:rPr/>
        <w:t>že voči žiadateľovi sa nenárokuje vrátenie pomoci na základe rozhodnutia Európskej komisie, ktorým bola pomoc označená za neoprávnenú a nezlučiteľnú s vnútorným trhom</w:t>
      </w:r>
      <w:r>
        <w:rPr>
          <w:rStyle w:val="Ukotveniepoznmkypodiarou"/>
        </w:rPr>
        <w:footnoteReference w:id="2"/>
      </w:r>
      <w:r>
        <w:rPr/>
        <w:t>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iarou"/>
        <w:suppressLineNumbers/>
        <w:bidi w:val="0"/>
        <w:ind w:left="340" w:right="0" w:hanging="340"/>
        <w:jc w:val="left"/>
        <w:rPr/>
      </w:pPr>
      <w:r>
        <w:rPr>
          <w:rStyle w:val="Znakyprepoznmkupodiarou"/>
        </w:rPr>
        <w:footnoteRef/>
      </w:r>
      <w:r>
        <w:rPr/>
        <w:tab/>
        <w:t>Spôsob overenia :</w:t>
      </w:r>
    </w:p>
    <w:p>
      <w:pPr>
        <w:pStyle w:val="Poznmkapodiarou"/>
        <w:suppressLineNumbers/>
        <w:bidi w:val="0"/>
        <w:ind w:left="340" w:right="0" w:hanging="340"/>
        <w:jc w:val="left"/>
        <w:rPr/>
      </w:pPr>
      <w:r>
        <w:rPr/>
        <w:tab/>
      </w:r>
      <w:hyperlink r:id="rId1">
        <w:r>
          <w:rPr>
            <w:rStyle w:val="Internetovodkaz"/>
          </w:rPr>
          <w:t>https://ec.europa.eu/competition-policy/state-aid/publications_en</w:t>
        </w:r>
      </w:hyperlink>
      <w:r>
        <w:rPr/>
        <w:t xml:space="preserve">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Bezzoznamu">
    <w:name w:val="Bez zoznamu"/>
    <w:qFormat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ec.europa.eu/competition-policy/state-aid/publications_en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LibreOffice/7.3.4.2$Windows_X86_64 LibreOffice_project/728fec16bd5f605073805c3c9e7c4212a0120dc5</Application>
  <AppVersion>15.0000</AppVersion>
  <Pages>1</Pages>
  <Words>92</Words>
  <Characters>726</Characters>
  <CharactersWithSpaces>812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2022-07-14T16:53:25Z</dcterms:modified>
  <cp:revision>26</cp:revision>
  <dc:subject/>
  <dc:title>Príloha č. 4 – čestné vyhlásenie o vrátení pomoci na základe rozhodnutia EK</dc:title>
</cp:coreProperties>
</file>