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C" w:rsidRDefault="001701DC">
      <w:pPr>
        <w:pStyle w:val="Zkladntext"/>
        <w:spacing w:before="75"/>
        <w:ind w:left="4457"/>
      </w:pPr>
      <w:r>
        <w:t>Hodnotiaci hárok</w:t>
      </w:r>
    </w:p>
    <w:p w:rsidR="005C2C8C" w:rsidRDefault="001701DC" w:rsidP="00D858B0">
      <w:pPr>
        <w:pStyle w:val="Zkladntext"/>
        <w:ind w:left="248" w:right="261" w:firstLine="622"/>
        <w:rPr>
          <w:b w:val="0"/>
          <w:sz w:val="20"/>
        </w:rPr>
      </w:pPr>
      <w:r>
        <w:t>k projektom predloženým v rámci systému dotácií Ministerstva kultúry SR na rok 202</w:t>
      </w:r>
      <w:r w:rsidR="00132427">
        <w:t>3</w:t>
      </w:r>
      <w:bookmarkStart w:id="0" w:name="_GoBack"/>
      <w:bookmarkEnd w:id="0"/>
      <w:r w:rsidR="0057509C">
        <w:t xml:space="preserve"> Program 1 OSSD podprogram 1.5</w:t>
      </w:r>
      <w:r w:rsidR="00D858B0">
        <w:t xml:space="preserve"> -</w:t>
      </w:r>
      <w:r>
        <w:t xml:space="preserve"> </w:t>
      </w:r>
      <w:r w:rsidR="00D858B0" w:rsidRPr="00D858B0">
        <w:t>Komplexná obnova národných kultúrnych pamiatok s prioritou ochrany a obnovy</w:t>
      </w:r>
    </w:p>
    <w:p w:rsidR="005C2C8C" w:rsidRDefault="005C2C8C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809"/>
      </w:tblGrid>
      <w:tr w:rsidR="005C2C8C">
        <w:trPr>
          <w:trHeight w:val="275"/>
        </w:trPr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</w:tcPr>
          <w:p w:rsidR="005C2C8C" w:rsidRDefault="001701DC">
            <w:pPr>
              <w:pStyle w:val="TableParagraph"/>
              <w:spacing w:line="255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Číslo projektu: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</w:tcBorders>
          </w:tcPr>
          <w:p w:rsidR="005C2C8C" w:rsidRDefault="005C2C8C">
            <w:pPr>
              <w:pStyle w:val="TableParagraph"/>
              <w:rPr>
                <w:sz w:val="20"/>
              </w:rPr>
            </w:pPr>
          </w:p>
        </w:tc>
      </w:tr>
      <w:tr w:rsidR="005C2C8C">
        <w:trPr>
          <w:trHeight w:val="278"/>
        </w:trPr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1701DC">
            <w:pPr>
              <w:pStyle w:val="TableParagraph"/>
              <w:spacing w:line="258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Žiadateľ: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C8C" w:rsidRDefault="005C2C8C">
            <w:pPr>
              <w:pStyle w:val="TableParagraph"/>
              <w:rPr>
                <w:sz w:val="20"/>
              </w:rPr>
            </w:pPr>
          </w:p>
        </w:tc>
      </w:tr>
      <w:tr w:rsidR="005C2C8C">
        <w:trPr>
          <w:trHeight w:val="275"/>
        </w:trPr>
        <w:tc>
          <w:tcPr>
            <w:tcW w:w="3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1701DC"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Názov projektu: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C8C" w:rsidRDefault="005C2C8C">
            <w:pPr>
              <w:pStyle w:val="TableParagraph"/>
              <w:rPr>
                <w:sz w:val="20"/>
              </w:rPr>
            </w:pPr>
          </w:p>
        </w:tc>
      </w:tr>
    </w:tbl>
    <w:p w:rsidR="005C2C8C" w:rsidRDefault="005C2C8C">
      <w:pPr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4111"/>
        <w:gridCol w:w="1280"/>
        <w:gridCol w:w="1415"/>
      </w:tblGrid>
      <w:tr w:rsidR="005C2C8C">
        <w:trPr>
          <w:trHeight w:val="659"/>
        </w:trPr>
        <w:tc>
          <w:tcPr>
            <w:tcW w:w="3690" w:type="dxa"/>
            <w:tcBorders>
              <w:bottom w:val="single" w:sz="4" w:space="0" w:color="000000"/>
              <w:right w:val="single" w:sz="4" w:space="0" w:color="000000"/>
            </w:tcBorders>
          </w:tcPr>
          <w:p w:rsidR="005C2C8C" w:rsidRDefault="001701DC">
            <w:pPr>
              <w:pStyle w:val="TableParagraph"/>
              <w:spacing w:line="272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Kritériá pre odborné hodnotenie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 w:rsidR="005C2C8C" w:rsidRDefault="001701DC">
            <w:pPr>
              <w:pStyle w:val="TableParagraph"/>
              <w:spacing w:line="272" w:lineRule="exact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Predmet hodnotenia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5C2C8C" w:rsidRDefault="001701DC">
            <w:pPr>
              <w:pStyle w:val="TableParagraph"/>
              <w:ind w:left="247" w:right="216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Typ kritéria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5C2C8C" w:rsidRDefault="001701DC">
            <w:pPr>
              <w:pStyle w:val="TableParagraph"/>
              <w:spacing w:line="272" w:lineRule="exact"/>
              <w:ind w:left="9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Hodnotenie</w:t>
            </w:r>
          </w:p>
        </w:tc>
      </w:tr>
      <w:tr w:rsidR="005C2C8C">
        <w:trPr>
          <w:trHeight w:val="2056"/>
        </w:trPr>
        <w:tc>
          <w:tcPr>
            <w:tcW w:w="3690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1701DC" w:rsidP="003526D4">
            <w:pPr>
              <w:pStyle w:val="TableParagraph"/>
              <w:spacing w:before="170"/>
              <w:ind w:left="71" w:right="231"/>
              <w:rPr>
                <w:sz w:val="24"/>
              </w:rPr>
            </w:pPr>
            <w:r>
              <w:rPr>
                <w:sz w:val="24"/>
              </w:rPr>
              <w:t xml:space="preserve">Zámerom predkladaného projektu obnovy národnej kultúrnej pamiatky je jej </w:t>
            </w:r>
            <w:r w:rsidR="00C71EF8" w:rsidRPr="003526D4">
              <w:rPr>
                <w:sz w:val="24"/>
              </w:rPr>
              <w:t>následné zmysluplné využitie s dosahom na širokú verejnosť / ideová náplň po obnove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C2C8C" w:rsidRDefault="001701DC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bodovacie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C2C8C" w:rsidRDefault="001701DC">
            <w:pPr>
              <w:pStyle w:val="TableParagraph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10-0b</w:t>
            </w:r>
          </w:p>
        </w:tc>
      </w:tr>
      <w:tr w:rsidR="005C2C8C">
        <w:trPr>
          <w:trHeight w:val="606"/>
        </w:trPr>
        <w:tc>
          <w:tcPr>
            <w:tcW w:w="369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C2C8C" w:rsidRDefault="001701DC">
            <w:pPr>
              <w:pStyle w:val="TableParagraph"/>
              <w:ind w:left="71" w:right="231"/>
              <w:rPr>
                <w:sz w:val="24"/>
              </w:rPr>
            </w:pPr>
            <w:r>
              <w:rPr>
                <w:sz w:val="24"/>
              </w:rPr>
              <w:t>Zámerom predkladaného projektu obnovy národnej kultúrnej pamiatky je jej sprístupnenie, prípadne jej časti verejnosti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C2C8C" w:rsidRDefault="001701DC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bodovacie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C2C8C" w:rsidRDefault="001701D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10-0b</w:t>
            </w:r>
          </w:p>
        </w:tc>
      </w:tr>
      <w:tr w:rsidR="005C2C8C">
        <w:trPr>
          <w:trHeight w:val="540"/>
        </w:trPr>
        <w:tc>
          <w:tcPr>
            <w:tcW w:w="3690" w:type="dxa"/>
            <w:tcBorders>
              <w:top w:val="nil"/>
              <w:bottom w:val="nil"/>
              <w:right w:val="single" w:sz="4" w:space="0" w:color="000000"/>
            </w:tcBorders>
            <w:shd w:val="clear" w:color="auto" w:fill="FFFFFC"/>
          </w:tcPr>
          <w:p w:rsidR="005C2C8C" w:rsidRDefault="001701DC">
            <w:pPr>
              <w:pStyle w:val="TableParagraph"/>
              <w:spacing w:line="26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 Súlad projektu s prioritami</w:t>
            </w:r>
          </w:p>
          <w:p w:rsidR="005C2C8C" w:rsidRDefault="003526D4">
            <w:pPr>
              <w:pStyle w:val="TableParagraph"/>
              <w:spacing w:line="25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podprogramu 1.5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</w:tr>
      <w:tr w:rsidR="005C2C8C">
        <w:trPr>
          <w:trHeight w:val="885"/>
        </w:trPr>
        <w:tc>
          <w:tcPr>
            <w:tcW w:w="369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</w:tr>
      <w:tr w:rsidR="005C2C8C">
        <w:trPr>
          <w:trHeight w:val="2051"/>
        </w:trPr>
        <w:tc>
          <w:tcPr>
            <w:tcW w:w="36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1701DC">
            <w:pPr>
              <w:pStyle w:val="TableParagraph"/>
              <w:spacing w:before="168"/>
              <w:ind w:left="71"/>
              <w:rPr>
                <w:sz w:val="24"/>
              </w:rPr>
            </w:pPr>
            <w:r>
              <w:rPr>
                <w:sz w:val="24"/>
              </w:rPr>
              <w:t>Predkladaný projekt obnovy národnej kultúrnej pamiatky prispeje významnou mierou k rozvoju turizmu / cestovného ruchu v danej lokalite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C2C8C" w:rsidRDefault="001701DC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bodovacie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C2C8C" w:rsidRDefault="001701DC">
            <w:pPr>
              <w:pStyle w:val="TableParagraph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10-0b</w:t>
            </w:r>
          </w:p>
        </w:tc>
      </w:tr>
      <w:tr w:rsidR="005C2C8C">
        <w:trPr>
          <w:trHeight w:val="703"/>
        </w:trPr>
        <w:tc>
          <w:tcPr>
            <w:tcW w:w="369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1701DC">
            <w:pPr>
              <w:pStyle w:val="TableParagraph"/>
              <w:spacing w:before="168"/>
              <w:ind w:left="71" w:right="124"/>
              <w:rPr>
                <w:sz w:val="24"/>
              </w:rPr>
            </w:pPr>
            <w:r>
              <w:rPr>
                <w:sz w:val="24"/>
              </w:rPr>
              <w:t>Odborná komisia posudzuje navrhovaný spôsob a následnosť prác pri obnove národnej kultúrnej pamiatky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C2C8C" w:rsidRDefault="001701DC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bodovacie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C2C8C" w:rsidRDefault="001701DC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10-0b</w:t>
            </w:r>
          </w:p>
        </w:tc>
      </w:tr>
      <w:tr w:rsidR="005C2C8C">
        <w:trPr>
          <w:trHeight w:val="266"/>
        </w:trPr>
        <w:tc>
          <w:tcPr>
            <w:tcW w:w="3690" w:type="dxa"/>
            <w:tcBorders>
              <w:top w:val="nil"/>
              <w:bottom w:val="nil"/>
              <w:right w:val="single" w:sz="4" w:space="0" w:color="000000"/>
            </w:tcBorders>
            <w:shd w:val="clear" w:color="auto" w:fill="FFFFFC"/>
          </w:tcPr>
          <w:p w:rsidR="005C2C8C" w:rsidRDefault="005C2C8C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</w:tr>
      <w:tr w:rsidR="005C2C8C">
        <w:trPr>
          <w:trHeight w:val="1065"/>
        </w:trPr>
        <w:tc>
          <w:tcPr>
            <w:tcW w:w="369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1701DC">
            <w:pPr>
              <w:pStyle w:val="TableParagraph"/>
              <w:spacing w:before="221"/>
              <w:ind w:left="69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2. Pripravenosť pamiatkovej obnovy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</w:tr>
      <w:tr w:rsidR="005C2C8C">
        <w:trPr>
          <w:trHeight w:val="2109"/>
        </w:trPr>
        <w:tc>
          <w:tcPr>
            <w:tcW w:w="369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1701DC" w:rsidP="003526D4">
            <w:pPr>
              <w:pStyle w:val="TableParagraph"/>
              <w:spacing w:before="221"/>
              <w:ind w:left="71" w:right="137"/>
              <w:rPr>
                <w:sz w:val="24"/>
              </w:rPr>
            </w:pPr>
            <w:r>
              <w:rPr>
                <w:sz w:val="24"/>
              </w:rPr>
              <w:t xml:space="preserve">Výstupy posudku pripravenosti obnovy od </w:t>
            </w:r>
            <w:r w:rsidR="003526D4">
              <w:rPr>
                <w:sz w:val="24"/>
              </w:rPr>
              <w:t>príslušného krajského pamiatkového úradu v rámci ich stanoviska k predmetnému projektu obnovy.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5C2C8C" w:rsidRDefault="001701DC">
            <w:pPr>
              <w:pStyle w:val="TableParagraph"/>
              <w:ind w:left="127" w:right="110"/>
              <w:jc w:val="center"/>
              <w:rPr>
                <w:sz w:val="24"/>
              </w:rPr>
            </w:pPr>
            <w:r>
              <w:rPr>
                <w:sz w:val="24"/>
              </w:rPr>
              <w:t>bodovacie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5C2C8C" w:rsidRDefault="003526D4">
            <w:pPr>
              <w:pStyle w:val="TableParagraph"/>
              <w:ind w:left="373" w:right="372"/>
              <w:jc w:val="center"/>
              <w:rPr>
                <w:sz w:val="24"/>
              </w:rPr>
            </w:pPr>
            <w:r w:rsidRPr="003526D4">
              <w:rPr>
                <w:sz w:val="24"/>
              </w:rPr>
              <w:t>1</w:t>
            </w:r>
            <w:r w:rsidR="00D51541" w:rsidRPr="003526D4">
              <w:rPr>
                <w:sz w:val="24"/>
              </w:rPr>
              <w:t>0</w:t>
            </w:r>
            <w:r w:rsidR="001701DC">
              <w:rPr>
                <w:sz w:val="24"/>
              </w:rPr>
              <w:t>-0 b</w:t>
            </w:r>
          </w:p>
        </w:tc>
      </w:tr>
    </w:tbl>
    <w:p w:rsidR="005C2C8C" w:rsidRDefault="005C2C8C">
      <w:pPr>
        <w:jc w:val="center"/>
        <w:rPr>
          <w:sz w:val="24"/>
        </w:rPr>
        <w:sectPr w:rsidR="005C2C8C">
          <w:footerReference w:type="default" r:id="rId8"/>
          <w:type w:val="continuous"/>
          <w:pgSz w:w="11910" w:h="16840"/>
          <w:pgMar w:top="1420" w:right="420" w:bottom="1160" w:left="740" w:header="708" w:footer="978" w:gutter="0"/>
          <w:pgNumType w:start="1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114"/>
        <w:gridCol w:w="1280"/>
        <w:gridCol w:w="1416"/>
      </w:tblGrid>
      <w:tr w:rsidR="005C2C8C">
        <w:trPr>
          <w:trHeight w:val="2207"/>
        </w:trPr>
        <w:tc>
          <w:tcPr>
            <w:tcW w:w="3687" w:type="dxa"/>
            <w:tcBorders>
              <w:left w:val="single" w:sz="8" w:space="0" w:color="000000"/>
              <w:bottom w:val="single" w:sz="8" w:space="0" w:color="000000"/>
            </w:tcBorders>
          </w:tcPr>
          <w:p w:rsidR="005C2C8C" w:rsidRDefault="005C2C8C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C2C8C" w:rsidRDefault="001701DC">
            <w:pPr>
              <w:pStyle w:val="TableParagraph"/>
              <w:ind w:left="74" w:right="264"/>
              <w:rPr>
                <w:sz w:val="24"/>
              </w:rPr>
            </w:pPr>
            <w:r>
              <w:rPr>
                <w:sz w:val="24"/>
              </w:rPr>
              <w:t>Odborná komisia posudzuje úroveň spracovania predloženej dokumentácie projektu k národnej kultúrnej pamiatke</w:t>
            </w:r>
          </w:p>
        </w:tc>
        <w:tc>
          <w:tcPr>
            <w:tcW w:w="1280" w:type="dxa"/>
            <w:tcBorders>
              <w:bottom w:val="single" w:sz="8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C2C8C" w:rsidRDefault="001701D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bodovacie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C2C8C" w:rsidRDefault="001701DC">
            <w:pPr>
              <w:pStyle w:val="TableParagraph"/>
              <w:ind w:left="206" w:right="306"/>
              <w:jc w:val="center"/>
              <w:rPr>
                <w:sz w:val="24"/>
              </w:rPr>
            </w:pPr>
            <w:r>
              <w:rPr>
                <w:sz w:val="24"/>
              </w:rPr>
              <w:t>10-0b</w:t>
            </w:r>
          </w:p>
        </w:tc>
      </w:tr>
      <w:tr w:rsidR="005C2C8C">
        <w:trPr>
          <w:trHeight w:val="3035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1701DC">
            <w:pPr>
              <w:pStyle w:val="TableParagraph"/>
              <w:tabs>
                <w:tab w:val="left" w:pos="3646"/>
              </w:tabs>
              <w:spacing w:before="181"/>
              <w:ind w:left="40"/>
              <w:rPr>
                <w:b/>
                <w:sz w:val="24"/>
              </w:rPr>
            </w:pPr>
            <w:r>
              <w:rPr>
                <w:b/>
                <w:spacing w:val="-32"/>
                <w:sz w:val="24"/>
                <w:shd w:val="clear" w:color="auto" w:fill="FFFFFC"/>
              </w:rPr>
              <w:t xml:space="preserve"> </w:t>
            </w:r>
            <w:r>
              <w:rPr>
                <w:b/>
                <w:sz w:val="24"/>
                <w:shd w:val="clear" w:color="auto" w:fill="FFFFFC"/>
              </w:rPr>
              <w:t>3. Realizovateľnosť</w:t>
            </w:r>
            <w:r>
              <w:rPr>
                <w:b/>
                <w:spacing w:val="-6"/>
                <w:sz w:val="24"/>
                <w:shd w:val="clear" w:color="auto" w:fill="FFFFFC"/>
              </w:rPr>
              <w:t xml:space="preserve"> </w:t>
            </w:r>
            <w:r>
              <w:rPr>
                <w:b/>
                <w:sz w:val="24"/>
                <w:shd w:val="clear" w:color="auto" w:fill="FFFFFC"/>
              </w:rPr>
              <w:t>projektu</w:t>
            </w:r>
            <w:r>
              <w:rPr>
                <w:b/>
                <w:sz w:val="24"/>
                <w:shd w:val="clear" w:color="auto" w:fill="FFFFFC"/>
              </w:rPr>
              <w:tab/>
            </w:r>
          </w:p>
        </w:tc>
        <w:tc>
          <w:tcPr>
            <w:tcW w:w="4114" w:type="dxa"/>
            <w:tcBorders>
              <w:top w:val="single" w:sz="8" w:space="0" w:color="000000"/>
              <w:bottom w:val="single" w:sz="8" w:space="0" w:color="000000"/>
            </w:tcBorders>
          </w:tcPr>
          <w:p w:rsidR="005C2C8C" w:rsidRDefault="001701D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Odborná komisia posudzuje</w:t>
            </w:r>
          </w:p>
          <w:p w:rsidR="005C2C8C" w:rsidRDefault="001701DC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right="76" w:firstLine="0"/>
              <w:rPr>
                <w:sz w:val="24"/>
              </w:rPr>
            </w:pPr>
            <w:r>
              <w:rPr>
                <w:sz w:val="24"/>
              </w:rPr>
              <w:t xml:space="preserve">realizovateľnosť a primeranosť navrhovaných aktivít projektu z </w:t>
            </w:r>
            <w:r>
              <w:rPr>
                <w:spacing w:val="-3"/>
                <w:sz w:val="24"/>
              </w:rPr>
              <w:t xml:space="preserve">hľadiska </w:t>
            </w:r>
            <w:r>
              <w:rPr>
                <w:sz w:val="24"/>
              </w:rPr>
              <w:t>ochrany pamiatkového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fondu</w:t>
            </w:r>
          </w:p>
          <w:p w:rsidR="005C2C8C" w:rsidRDefault="001701DC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posudzuje efektívnosť a kvalitu </w:t>
            </w:r>
            <w:r>
              <w:rPr>
                <w:spacing w:val="-3"/>
                <w:sz w:val="24"/>
              </w:rPr>
              <w:t xml:space="preserve">doteraz </w:t>
            </w:r>
            <w:r>
              <w:rPr>
                <w:sz w:val="24"/>
              </w:rPr>
              <w:t>realizovaných prác na národnej kultúrnej pamiatke</w:t>
            </w:r>
          </w:p>
          <w:p w:rsidR="005C2C8C" w:rsidRDefault="001701DC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line="270" w:lineRule="atLeast"/>
              <w:ind w:right="192" w:firstLine="0"/>
              <w:rPr>
                <w:sz w:val="24"/>
              </w:rPr>
            </w:pPr>
            <w:r>
              <w:rPr>
                <w:sz w:val="24"/>
              </w:rPr>
              <w:t xml:space="preserve">posudzuje súlad doteraz vykonaných prác s podmienkami obnovy, ktoré </w:t>
            </w:r>
            <w:r>
              <w:rPr>
                <w:spacing w:val="-4"/>
                <w:sz w:val="24"/>
              </w:rPr>
              <w:t xml:space="preserve">určil </w:t>
            </w:r>
            <w:r>
              <w:rPr>
                <w:sz w:val="24"/>
              </w:rPr>
              <w:t>miestne príslušný krajský pamiatkový úrad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1701DC">
            <w:pPr>
              <w:pStyle w:val="TableParagraph"/>
              <w:spacing w:before="17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bodovacie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1701DC">
            <w:pPr>
              <w:pStyle w:val="TableParagraph"/>
              <w:spacing w:before="176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20-0b</w:t>
            </w:r>
          </w:p>
        </w:tc>
      </w:tr>
      <w:tr w:rsidR="005C2C8C">
        <w:trPr>
          <w:trHeight w:val="2207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C2C8C" w:rsidRDefault="001701DC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4. Reálnosť rozpočtu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5C2C8C" w:rsidRDefault="005C2C8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C2C8C" w:rsidRDefault="001701D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Odborná komisia posudzuje</w:t>
            </w:r>
          </w:p>
          <w:p w:rsidR="005C2C8C" w:rsidRDefault="001701DC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left="213"/>
              <w:rPr>
                <w:sz w:val="24"/>
              </w:rPr>
            </w:pPr>
            <w:r>
              <w:rPr>
                <w:sz w:val="24"/>
              </w:rPr>
              <w:t>primeranosť a reálnosť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rozpočtu</w:t>
            </w:r>
          </w:p>
          <w:p w:rsidR="005C2C8C" w:rsidRDefault="001701DC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519" w:firstLine="0"/>
              <w:rPr>
                <w:sz w:val="24"/>
              </w:rPr>
            </w:pPr>
            <w:r>
              <w:rPr>
                <w:sz w:val="24"/>
              </w:rPr>
              <w:t>vyrovnanosť jednotlivých položiek v závislosti od plánovaných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aktivít</w:t>
            </w:r>
          </w:p>
          <w:p w:rsidR="005C2C8C" w:rsidRDefault="001701DC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 xml:space="preserve">špecifikáciu položiek rozpočtu tak, aby mohli </w:t>
            </w:r>
            <w:r>
              <w:rPr>
                <w:spacing w:val="-2"/>
                <w:sz w:val="24"/>
              </w:rPr>
              <w:t xml:space="preserve">byť </w:t>
            </w:r>
            <w:r>
              <w:rPr>
                <w:sz w:val="24"/>
              </w:rPr>
              <w:t>považované 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oprávnené</w:t>
            </w:r>
          </w:p>
        </w:tc>
        <w:tc>
          <w:tcPr>
            <w:tcW w:w="1280" w:type="dxa"/>
            <w:tcBorders>
              <w:top w:val="single" w:sz="8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C2C8C" w:rsidRDefault="001701DC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bodovacie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rPr>
                <w:b/>
                <w:sz w:val="26"/>
              </w:rPr>
            </w:pPr>
          </w:p>
          <w:p w:rsidR="005C2C8C" w:rsidRDefault="005C2C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C2C8C" w:rsidRDefault="001701DC">
            <w:pPr>
              <w:pStyle w:val="TableParagraph"/>
              <w:ind w:left="206" w:right="306"/>
              <w:jc w:val="center"/>
              <w:rPr>
                <w:sz w:val="24"/>
              </w:rPr>
            </w:pPr>
            <w:r>
              <w:rPr>
                <w:sz w:val="24"/>
              </w:rPr>
              <w:t>10-0b</w:t>
            </w:r>
          </w:p>
        </w:tc>
      </w:tr>
      <w:tr w:rsidR="005C2C8C">
        <w:trPr>
          <w:trHeight w:val="765"/>
        </w:trPr>
        <w:tc>
          <w:tcPr>
            <w:tcW w:w="3687" w:type="dxa"/>
            <w:tcBorders>
              <w:left w:val="single" w:sz="8" w:space="0" w:color="000000"/>
            </w:tcBorders>
          </w:tcPr>
          <w:p w:rsidR="005C2C8C" w:rsidRDefault="005C2C8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C2C8C" w:rsidRDefault="001701DC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Spolu počet bodov</w:t>
            </w:r>
          </w:p>
        </w:tc>
        <w:tc>
          <w:tcPr>
            <w:tcW w:w="4114" w:type="dxa"/>
          </w:tcPr>
          <w:p w:rsidR="005C2C8C" w:rsidRDefault="005C2C8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5C2C8C" w:rsidRDefault="005C2C8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C2C8C" w:rsidRDefault="005C2C8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C2C8C" w:rsidRDefault="001701DC" w:rsidP="005F1D23">
            <w:pPr>
              <w:pStyle w:val="TableParagraph"/>
              <w:ind w:left="292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 w:rsidR="00D5154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r w:rsidRPr="005F1D23">
              <w:rPr>
                <w:b/>
                <w:sz w:val="24"/>
              </w:rPr>
              <w:t>90</w:t>
            </w:r>
          </w:p>
        </w:tc>
      </w:tr>
    </w:tbl>
    <w:p w:rsidR="001701DC" w:rsidRDefault="001701DC"/>
    <w:sectPr w:rsidR="001701DC">
      <w:pgSz w:w="11910" w:h="16840"/>
      <w:pgMar w:top="1400" w:right="420" w:bottom="1160" w:left="740" w:header="0" w:footer="9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C3" w:rsidRDefault="002622C3">
      <w:r>
        <w:separator/>
      </w:r>
    </w:p>
  </w:endnote>
  <w:endnote w:type="continuationSeparator" w:id="0">
    <w:p w:rsidR="002622C3" w:rsidRDefault="0026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8C" w:rsidRDefault="00E10AC9">
    <w:pPr>
      <w:pStyle w:val="Zkladn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9881235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2C8C" w:rsidRDefault="001701D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2C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5pt;margin-top:778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" filled="f" stroked="f">
              <v:textbox inset="0,0,0,0">
                <w:txbxContent>
                  <w:p w:rsidR="005C2C8C" w:rsidRDefault="001701D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22C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C3" w:rsidRDefault="002622C3">
      <w:r>
        <w:separator/>
      </w:r>
    </w:p>
  </w:footnote>
  <w:footnote w:type="continuationSeparator" w:id="0">
    <w:p w:rsidR="002622C3" w:rsidRDefault="0026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0AA"/>
    <w:multiLevelType w:val="hybridMultilevel"/>
    <w:tmpl w:val="DC984F1A"/>
    <w:lvl w:ilvl="0" w:tplc="E7C4CF3A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1" w:tplc="6C9ADCA4">
      <w:numFmt w:val="bullet"/>
      <w:lvlText w:val="•"/>
      <w:lvlJc w:val="left"/>
      <w:pPr>
        <w:ind w:left="482" w:hanging="140"/>
      </w:pPr>
      <w:rPr>
        <w:rFonts w:hint="default"/>
        <w:lang w:val="sk-SK" w:eastAsia="sk-SK" w:bidi="sk-SK"/>
      </w:rPr>
    </w:lvl>
    <w:lvl w:ilvl="2" w:tplc="10D651C6">
      <w:numFmt w:val="bullet"/>
      <w:lvlText w:val="•"/>
      <w:lvlJc w:val="left"/>
      <w:pPr>
        <w:ind w:left="884" w:hanging="140"/>
      </w:pPr>
      <w:rPr>
        <w:rFonts w:hint="default"/>
        <w:lang w:val="sk-SK" w:eastAsia="sk-SK" w:bidi="sk-SK"/>
      </w:rPr>
    </w:lvl>
    <w:lvl w:ilvl="3" w:tplc="80A24908">
      <w:numFmt w:val="bullet"/>
      <w:lvlText w:val="•"/>
      <w:lvlJc w:val="left"/>
      <w:pPr>
        <w:ind w:left="1287" w:hanging="140"/>
      </w:pPr>
      <w:rPr>
        <w:rFonts w:hint="default"/>
        <w:lang w:val="sk-SK" w:eastAsia="sk-SK" w:bidi="sk-SK"/>
      </w:rPr>
    </w:lvl>
    <w:lvl w:ilvl="4" w:tplc="3584797E">
      <w:numFmt w:val="bullet"/>
      <w:lvlText w:val="•"/>
      <w:lvlJc w:val="left"/>
      <w:pPr>
        <w:ind w:left="1689" w:hanging="140"/>
      </w:pPr>
      <w:rPr>
        <w:rFonts w:hint="default"/>
        <w:lang w:val="sk-SK" w:eastAsia="sk-SK" w:bidi="sk-SK"/>
      </w:rPr>
    </w:lvl>
    <w:lvl w:ilvl="5" w:tplc="775C88F4">
      <w:numFmt w:val="bullet"/>
      <w:lvlText w:val="•"/>
      <w:lvlJc w:val="left"/>
      <w:pPr>
        <w:ind w:left="2092" w:hanging="140"/>
      </w:pPr>
      <w:rPr>
        <w:rFonts w:hint="default"/>
        <w:lang w:val="sk-SK" w:eastAsia="sk-SK" w:bidi="sk-SK"/>
      </w:rPr>
    </w:lvl>
    <w:lvl w:ilvl="6" w:tplc="9AB467DA">
      <w:numFmt w:val="bullet"/>
      <w:lvlText w:val="•"/>
      <w:lvlJc w:val="left"/>
      <w:pPr>
        <w:ind w:left="2494" w:hanging="140"/>
      </w:pPr>
      <w:rPr>
        <w:rFonts w:hint="default"/>
        <w:lang w:val="sk-SK" w:eastAsia="sk-SK" w:bidi="sk-SK"/>
      </w:rPr>
    </w:lvl>
    <w:lvl w:ilvl="7" w:tplc="A2A89200">
      <w:numFmt w:val="bullet"/>
      <w:lvlText w:val="•"/>
      <w:lvlJc w:val="left"/>
      <w:pPr>
        <w:ind w:left="2896" w:hanging="140"/>
      </w:pPr>
      <w:rPr>
        <w:rFonts w:hint="default"/>
        <w:lang w:val="sk-SK" w:eastAsia="sk-SK" w:bidi="sk-SK"/>
      </w:rPr>
    </w:lvl>
    <w:lvl w:ilvl="8" w:tplc="872C27DE">
      <w:numFmt w:val="bullet"/>
      <w:lvlText w:val="•"/>
      <w:lvlJc w:val="left"/>
      <w:pPr>
        <w:ind w:left="3299" w:hanging="140"/>
      </w:pPr>
      <w:rPr>
        <w:rFonts w:hint="default"/>
        <w:lang w:val="sk-SK" w:eastAsia="sk-SK" w:bidi="sk-SK"/>
      </w:rPr>
    </w:lvl>
  </w:abstractNum>
  <w:abstractNum w:abstractNumId="1">
    <w:nsid w:val="7EFA1CE4"/>
    <w:multiLevelType w:val="hybridMultilevel"/>
    <w:tmpl w:val="1956787A"/>
    <w:lvl w:ilvl="0" w:tplc="687480B0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1" w:tplc="4A5E67F2">
      <w:numFmt w:val="bullet"/>
      <w:lvlText w:val="•"/>
      <w:lvlJc w:val="left"/>
      <w:pPr>
        <w:ind w:left="482" w:hanging="140"/>
      </w:pPr>
      <w:rPr>
        <w:rFonts w:hint="default"/>
        <w:lang w:val="sk-SK" w:eastAsia="sk-SK" w:bidi="sk-SK"/>
      </w:rPr>
    </w:lvl>
    <w:lvl w:ilvl="2" w:tplc="394684AE">
      <w:numFmt w:val="bullet"/>
      <w:lvlText w:val="•"/>
      <w:lvlJc w:val="left"/>
      <w:pPr>
        <w:ind w:left="884" w:hanging="140"/>
      </w:pPr>
      <w:rPr>
        <w:rFonts w:hint="default"/>
        <w:lang w:val="sk-SK" w:eastAsia="sk-SK" w:bidi="sk-SK"/>
      </w:rPr>
    </w:lvl>
    <w:lvl w:ilvl="3" w:tplc="A66ACF1E">
      <w:numFmt w:val="bullet"/>
      <w:lvlText w:val="•"/>
      <w:lvlJc w:val="left"/>
      <w:pPr>
        <w:ind w:left="1287" w:hanging="140"/>
      </w:pPr>
      <w:rPr>
        <w:rFonts w:hint="default"/>
        <w:lang w:val="sk-SK" w:eastAsia="sk-SK" w:bidi="sk-SK"/>
      </w:rPr>
    </w:lvl>
    <w:lvl w:ilvl="4" w:tplc="56FED8E2">
      <w:numFmt w:val="bullet"/>
      <w:lvlText w:val="•"/>
      <w:lvlJc w:val="left"/>
      <w:pPr>
        <w:ind w:left="1689" w:hanging="140"/>
      </w:pPr>
      <w:rPr>
        <w:rFonts w:hint="default"/>
        <w:lang w:val="sk-SK" w:eastAsia="sk-SK" w:bidi="sk-SK"/>
      </w:rPr>
    </w:lvl>
    <w:lvl w:ilvl="5" w:tplc="EBCEF9DE">
      <w:numFmt w:val="bullet"/>
      <w:lvlText w:val="•"/>
      <w:lvlJc w:val="left"/>
      <w:pPr>
        <w:ind w:left="2092" w:hanging="140"/>
      </w:pPr>
      <w:rPr>
        <w:rFonts w:hint="default"/>
        <w:lang w:val="sk-SK" w:eastAsia="sk-SK" w:bidi="sk-SK"/>
      </w:rPr>
    </w:lvl>
    <w:lvl w:ilvl="6" w:tplc="43CC6AC0">
      <w:numFmt w:val="bullet"/>
      <w:lvlText w:val="•"/>
      <w:lvlJc w:val="left"/>
      <w:pPr>
        <w:ind w:left="2494" w:hanging="140"/>
      </w:pPr>
      <w:rPr>
        <w:rFonts w:hint="default"/>
        <w:lang w:val="sk-SK" w:eastAsia="sk-SK" w:bidi="sk-SK"/>
      </w:rPr>
    </w:lvl>
    <w:lvl w:ilvl="7" w:tplc="D68C394A">
      <w:numFmt w:val="bullet"/>
      <w:lvlText w:val="•"/>
      <w:lvlJc w:val="left"/>
      <w:pPr>
        <w:ind w:left="2896" w:hanging="140"/>
      </w:pPr>
      <w:rPr>
        <w:rFonts w:hint="default"/>
        <w:lang w:val="sk-SK" w:eastAsia="sk-SK" w:bidi="sk-SK"/>
      </w:rPr>
    </w:lvl>
    <w:lvl w:ilvl="8" w:tplc="1C24F972">
      <w:numFmt w:val="bullet"/>
      <w:lvlText w:val="•"/>
      <w:lvlJc w:val="left"/>
      <w:pPr>
        <w:ind w:left="3299" w:hanging="140"/>
      </w:pPr>
      <w:rPr>
        <w:rFonts w:hint="default"/>
        <w:lang w:val="sk-SK" w:eastAsia="sk-SK" w:bidi="sk-S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8C"/>
    <w:rsid w:val="00132427"/>
    <w:rsid w:val="001701DC"/>
    <w:rsid w:val="002622C3"/>
    <w:rsid w:val="003526D4"/>
    <w:rsid w:val="004F312F"/>
    <w:rsid w:val="0057509C"/>
    <w:rsid w:val="005C2C8C"/>
    <w:rsid w:val="005F1D23"/>
    <w:rsid w:val="00642176"/>
    <w:rsid w:val="006C3CA8"/>
    <w:rsid w:val="007C291A"/>
    <w:rsid w:val="008B1D4C"/>
    <w:rsid w:val="00B015E0"/>
    <w:rsid w:val="00C71EF8"/>
    <w:rsid w:val="00D51541"/>
    <w:rsid w:val="00D858B0"/>
    <w:rsid w:val="00DF692D"/>
    <w:rsid w:val="00E10AC9"/>
    <w:rsid w:val="00EA05F5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Hodnotiaci hárok</vt:lpstr>
    </vt:vector>
  </TitlesOfParts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Hodnotiaci hárok</dc:title>
  <dc:creator>Kuhnová Daniela</dc:creator>
  <cp:lastModifiedBy>Hlavatá Lýdia</cp:lastModifiedBy>
  <cp:revision>2</cp:revision>
  <dcterms:created xsi:type="dcterms:W3CDTF">2022-10-24T08:51:00Z</dcterms:created>
  <dcterms:modified xsi:type="dcterms:W3CDTF">2022-10-24T08:51:00Z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2020-09-30T00:00:00Z</vt:filetime>
  </property>
</Properties>
</file>